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sdt>
      <w:sdtPr>
        <w:docPartObj>
          <w:docPartGallery w:val="Table of Contents"/>
          <w:docPartUnique w:val="true"/>
        </w:docPartObj>
      </w:sdtPr>
      <w:sdtContent>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jc w:val="center"/>
            <w:rPr>
              <w:rFonts w:ascii="Times New Roman" w:hAnsi="Times New Roman"/>
            </w:rPr>
          </w:pPr>
          <w:r>
            <w:rPr>
              <w:rFonts w:cs="Times New Roman" w:ascii="Times New Roman" w:hAnsi="Times New Roman"/>
              <w:b/>
              <w:bCs/>
              <w:sz w:val="32"/>
              <w:szCs w:val="32"/>
            </w:rPr>
            <w:t>HIGIENOS INSTITUTAS</w:t>
          </w:r>
        </w:p>
        <w:p>
          <w:pPr>
            <w:pStyle w:val="Normal"/>
            <w:spacing w:lineRule="auto" w:line="240" w:before="0" w:after="0"/>
            <w:contextualSpacing/>
            <w:jc w:val="center"/>
            <w:rPr>
              <w:rFonts w:ascii="Times New Roman" w:hAnsi="Times New Roman"/>
              <w:sz w:val="20"/>
              <w:szCs w:val="20"/>
            </w:rPr>
          </w:pPr>
          <w:r>
            <w:rPr>
              <w:rFonts w:cs="Times New Roman" w:ascii="Times New Roman" w:hAnsi="Times New Roman"/>
              <w:sz w:val="20"/>
              <w:szCs w:val="20"/>
            </w:rPr>
            <w:t>Įstaigos kodas 111958286</w:t>
          </w:r>
        </w:p>
        <w:p>
          <w:pPr>
            <w:pStyle w:val="Normal"/>
            <w:spacing w:lineRule="auto" w:line="240" w:before="0" w:after="0"/>
            <w:contextualSpacing/>
            <w:jc w:val="center"/>
            <w:rPr>
              <w:rFonts w:ascii="Times New Roman" w:hAnsi="Times New Roman" w:cs="Times New Roman"/>
              <w:sz w:val="20"/>
              <w:szCs w:val="20"/>
            </w:rPr>
          </w:pPr>
          <w:r>
            <w:rPr>
              <w:rFonts w:cs="Times New Roman" w:ascii="Times New Roman" w:hAnsi="Times New Roman"/>
              <w:sz w:val="20"/>
              <w:szCs w:val="20"/>
            </w:rPr>
            <w:t>Studentų g. 45A, LT-08107 Vilnius</w:t>
          </w:r>
        </w:p>
        <w:p>
          <w:pPr>
            <w:pStyle w:val="Normal"/>
            <w:spacing w:lineRule="auto" w:line="240" w:before="0" w:after="0"/>
            <w:contextualSpacing/>
            <w:jc w:val="center"/>
            <w:rPr>
              <w:b w:val="false"/>
              <w:bCs w:val="false"/>
            </w:rPr>
          </w:pPr>
          <w:bookmarkStart w:id="0" w:name="_Hlk196227754"/>
          <w:r>
            <w:rPr>
              <w:rFonts w:cs="Times New Roman" w:ascii="Times New Roman" w:hAnsi="Times New Roman"/>
              <w:b w:val="false"/>
              <w:bCs w:val="false"/>
              <w:sz w:val="20"/>
              <w:szCs w:val="20"/>
            </w:rPr>
            <w:t>+370 5 262 4583, institutas@hi.lt</w:t>
          </w:r>
          <w:bookmarkEnd w:id="0"/>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870" w:leader="none"/>
            </w:tabs>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tab/>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PATVIRTINTA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Perkančiosios organizacijos Viešųjų pirkimų komisijos 202</w:t>
          </w:r>
          <w:r>
            <w:rPr>
              <w:rFonts w:cs="Times New Roman" w:ascii="Times New Roman" w:hAnsi="Times New Roman"/>
              <w:sz w:val="24"/>
              <w:szCs w:val="24"/>
              <w:lang w:val="en-US"/>
            </w:rPr>
            <w:t>6</w:t>
          </w:r>
          <w:r>
            <w:rPr>
              <w:rFonts w:cs="Times New Roman" w:ascii="Times New Roman" w:hAnsi="Times New Roman"/>
              <w:sz w:val="24"/>
              <w:szCs w:val="24"/>
            </w:rPr>
            <w:t>-</w:t>
          </w:r>
          <w:r>
            <w:rPr>
              <w:rFonts w:cs="Times New Roman" w:ascii="Times New Roman" w:hAnsi="Times New Roman"/>
              <w:sz w:val="24"/>
              <w:szCs w:val="24"/>
              <w:lang w:val="en-US"/>
            </w:rPr>
            <w:t>0</w:t>
          </w:r>
          <w:r>
            <w:rPr>
              <w:rFonts w:cs="Times New Roman" w:ascii="Times New Roman" w:hAnsi="Times New Roman"/>
              <w:sz w:val="24"/>
              <w:szCs w:val="24"/>
              <w:lang w:val="lt-LT"/>
            </w:rPr>
            <w:t>5</w:t>
          </w:r>
          <w:r>
            <w:rPr>
              <w:rFonts w:cs="Times New Roman" w:ascii="Times New Roman" w:hAnsi="Times New Roman"/>
              <w:sz w:val="24"/>
              <w:szCs w:val="24"/>
            </w:rPr>
            <w:t xml:space="preserve">-    protokolu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PAKEITIMAI PATVIRTINTI: </w:t>
          </w:r>
        </w:p>
        <w:p>
          <w:pPr>
            <w:pStyle w:val="Normal"/>
            <w:spacing w:lineRule="atLeast" w:line="20" w:before="0" w:after="120"/>
            <w:ind w:left="5245"/>
            <w:contextualSpacing/>
            <w:rPr>
              <w:rFonts w:ascii="Times New Roman" w:hAnsi="Times New Roman" w:cs="Times New Roman"/>
              <w:i/>
              <w:i/>
              <w:iCs/>
              <w:sz w:val="24"/>
              <w:szCs w:val="24"/>
            </w:rPr>
          </w:pPr>
          <w:r>
            <w:rPr>
              <w:rFonts w:cs="Times New Roman" w:ascii="Times New Roman" w:hAnsi="Times New Roman"/>
              <w:i/>
              <w:iCs/>
              <w:sz w:val="24"/>
              <w:szCs w:val="24"/>
            </w:rPr>
            <w:t>NETAIKOMA</w:t>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contextualSpacing/>
            <w:jc w:val="center"/>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jc w:val="center"/>
            <w:rPr>
              <w:sz w:val="28"/>
              <w:szCs w:val="28"/>
            </w:rPr>
          </w:pPr>
          <w:r>
            <w:rPr>
              <w:rFonts w:cs="Times New Roman" w:ascii="Times New Roman" w:hAnsi="Times New Roman"/>
              <w:b/>
              <w:bCs/>
              <w:sz w:val="28"/>
              <w:szCs w:val="28"/>
            </w:rPr>
            <w:t>SUPAPRASTINTO ATVIRO</w:t>
          </w:r>
          <w:r>
            <w:rPr>
              <w:rFonts w:cs="Times New Roman" w:ascii="Times New Roman" w:hAnsi="Times New Roman"/>
              <w:b/>
              <w:bCs/>
              <w:sz w:val="28"/>
              <w:szCs w:val="28"/>
            </w:rPr>
            <w:t xml:space="preserve"> PIRKIMO „VAIKŲ VASAROS UŽIMTUMO VEIKLŲ ORGANIZAVIMAS STIPRINANT VAIKŲ IR JŲ ŠEIMŲ SVEIKĄ GYVENSENĄ, ĮSKAITANT FIZINĘ IR PSICHIKOS SVEIKATĄ BEI PSICHOLOGINĮ ATSPARUMĄ“ SPECIALIOSIOS SĄLYGOS </w:t>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t>Versija Nr.1</w:t>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br w:type="page"/>
          </w:r>
        </w:p>
        <w:p>
          <w:pPr>
            <w:pStyle w:val="TOCHeading"/>
            <w:spacing w:lineRule="atLeast" w:line="20" w:before="0" w:after="120"/>
            <w:ind w:hanging="432" w:left="432"/>
            <w:contextualSpacing/>
            <w:rPr>
              <w:rFonts w:ascii="Times New Roman" w:hAnsi="Times New Roman" w:cs="Times New Roman"/>
              <w:color w:val="auto"/>
              <w:sz w:val="24"/>
              <w:szCs w:val="24"/>
            </w:rPr>
          </w:pPr>
          <w:r>
            <w:rPr>
              <w:rFonts w:cs="Times New Roman" w:ascii="Times New Roman" w:hAnsi="Times New Roman"/>
              <w:color w:val="auto"/>
              <w:sz w:val="24"/>
              <w:szCs w:val="24"/>
            </w:rPr>
            <w:t>TURINYS</w:t>
          </w:r>
        </w:p>
        <w:p>
          <w:pPr>
            <w:pStyle w:val="TOC1"/>
            <w:tabs>
              <w:tab w:val="left" w:pos="142" w:leader="none"/>
              <w:tab w:val="left" w:pos="720" w:leader="none"/>
              <w:tab w:val="right" w:pos="9962" w:leader="dot"/>
            </w:tabs>
            <w:rPr>
              <w:kern w:val="2"/>
              <w:sz w:val="24"/>
              <w:szCs w:val="24"/>
              <w14:ligatures w14:val="standardContextual"/>
            </w:rPr>
          </w:pPr>
          <w:r>
            <w:fldChar w:fldCharType="begin"/>
          </w:r>
          <w:r>
            <w:rPr>
              <w:webHidden/>
              <w:rStyle w:val="IndexLink"/>
              <w:vanish w:val="false"/>
              <w:rFonts w:cs="Times New Roman" w:ascii="Times New Roman" w:hAnsi="Times New Roman"/>
            </w:rPr>
            <w:instrText xml:space="preserve"> TOC \z \o "1-3" \u \h</w:instrText>
          </w:r>
          <w:r>
            <w:rPr>
              <w:webHidden/>
              <w:rStyle w:val="IndexLink"/>
              <w:vanish w:val="false"/>
              <w:rFonts w:cs="Times New Roman" w:ascii="Times New Roman" w:hAnsi="Times New Roman"/>
            </w:rPr>
            <w:fldChar w:fldCharType="separate"/>
          </w:r>
          <w:hyperlink w:anchor="_Toc213187611">
            <w:r>
              <w:rPr>
                <w:webHidden/>
                <w:rStyle w:val="IndexLink"/>
                <w:rFonts w:cs="Times New Roman" w:ascii="Times New Roman" w:hAnsi="Times New Roman"/>
                <w:vanish w:val="false"/>
              </w:rPr>
              <w:t>1.</w:t>
            </w:r>
            <w:r>
              <w:rPr>
                <w:rStyle w:val="IndexLink"/>
                <w:kern w:val="2"/>
                <w:sz w:val="24"/>
                <w:szCs w:val="24"/>
                <w14:ligatures w14:val="standardContextual"/>
              </w:rPr>
              <w:tab/>
            </w:r>
            <w:r>
              <w:rPr>
                <w:rStyle w:val="IndexLink"/>
                <w:rFonts w:cs="Times New Roman" w:ascii="Times New Roman" w:hAnsi="Times New Roman"/>
              </w:rPr>
              <w:t>Bendra informacija</w:t>
            </w:r>
            <w:r>
              <w:rPr>
                <w:webHidden/>
              </w:rPr>
              <w:fldChar w:fldCharType="begin"/>
            </w:r>
            <w:r>
              <w:rPr>
                <w:webHidden/>
              </w:rPr>
              <w:instrText xml:space="preserve">PAGEREF _Toc213187611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12">
            <w:r>
              <w:rPr>
                <w:webHidden/>
                <w:rStyle w:val="IndexLink"/>
                <w:rFonts w:cs="Times New Roman" w:ascii="Times New Roman" w:hAnsi="Times New Roman"/>
                <w:vanish w:val="false"/>
              </w:rPr>
              <w:t>2. Pirkimo objektas</w:t>
            </w:r>
            <w:r>
              <w:rPr>
                <w:webHidden/>
              </w:rPr>
              <w:fldChar w:fldCharType="begin"/>
            </w:r>
            <w:r>
              <w:rPr>
                <w:webHidden/>
              </w:rPr>
              <w:instrText xml:space="preserve">PAGEREF _Toc213187612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13">
            <w:r>
              <w:rPr>
                <w:webHidden/>
                <w:rStyle w:val="IndexLink"/>
                <w:rFonts w:cs="Times New Roman" w:ascii="Times New Roman" w:hAnsi="Times New Roman"/>
                <w:vanish w:val="false"/>
              </w:rPr>
              <w:t>3. Susitikimai su tiekėjais ir objekto apžiūra</w:t>
            </w:r>
            <w:r>
              <w:rPr>
                <w:webHidden/>
              </w:rPr>
              <w:fldChar w:fldCharType="begin"/>
            </w:r>
            <w:r>
              <w:rPr>
                <w:webHidden/>
              </w:rPr>
              <w:instrText xml:space="preserve">PAGEREF _Toc213187613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14">
            <w:r>
              <w:rPr>
                <w:webHidden/>
                <w:rStyle w:val="IndexLink"/>
                <w:rFonts w:cs="Times New Roman" w:ascii="Times New Roman" w:hAnsi="Times New Roman"/>
                <w:vanish w:val="false"/>
              </w:rPr>
              <w:t>4. Tiekėjų pašalinimo pagrindai ir kvalifikacijos reikalavimai</w:t>
            </w:r>
            <w:r>
              <w:rPr>
                <w:webHidden/>
              </w:rPr>
              <w:fldChar w:fldCharType="begin"/>
            </w:r>
            <w:r>
              <w:rPr>
                <w:webHidden/>
              </w:rPr>
              <w:instrText xml:space="preserve">PAGEREF _Toc213187614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15">
            <w:r>
              <w:rPr>
                <w:webHidden/>
                <w:rStyle w:val="IndexLink"/>
                <w:rFonts w:cs="Times New Roman" w:ascii="Times New Roman" w:hAnsi="Times New Roman"/>
                <w:vanish w:val="false"/>
              </w:rPr>
              <w:t>5. Reikalavimai, susiję su nacionaliniu saugumu</w:t>
            </w:r>
            <w:r>
              <w:rPr>
                <w:webHidden/>
              </w:rPr>
              <w:fldChar w:fldCharType="begin"/>
            </w:r>
            <w:r>
              <w:rPr>
                <w:webHidden/>
              </w:rPr>
              <w:instrText xml:space="preserve">PAGEREF _Toc213187615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16">
            <w:r>
              <w:rPr>
                <w:webHidden/>
                <w:rStyle w:val="IndexLink"/>
                <w:rFonts w:cs="Times New Roman" w:ascii="Times New Roman" w:hAnsi="Times New Roman"/>
                <w:vanish w:val="false"/>
              </w:rPr>
              <w:t>6. Specialieji reikalavimai pasiūlymų rengimui ir pateikimui</w:t>
            </w:r>
            <w:r>
              <w:rPr>
                <w:webHidden/>
              </w:rPr>
              <w:fldChar w:fldCharType="begin"/>
            </w:r>
            <w:r>
              <w:rPr>
                <w:webHidden/>
              </w:rPr>
              <w:instrText xml:space="preserve">PAGEREF _Toc213187616 \h</w:instrText>
            </w:r>
            <w:r>
              <w:rPr>
                <w:webHidden/>
              </w:rPr>
              <w:fldChar w:fldCharType="separate"/>
            </w:r>
            <w:r>
              <w:rPr>
                <w:rStyle w:val="IndexLink"/>
              </w:rPr>
              <w:tab/>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7">
            <w:r>
              <w:rPr>
                <w:webHidden/>
                <w:rStyle w:val="IndexLink"/>
                <w:rFonts w:eastAsia="Calibri" w:cs="Times New Roman" w:ascii="Times New Roman" w:hAnsi="Times New Roman"/>
                <w:vanish w:val="false"/>
              </w:rPr>
              <w:t>7.</w:t>
            </w:r>
            <w:r>
              <w:rPr>
                <w:rStyle w:val="IndexLink"/>
                <w:kern w:val="2"/>
                <w:sz w:val="24"/>
                <w:szCs w:val="24"/>
                <w14:ligatures w14:val="standardContextual"/>
              </w:rPr>
              <w:tab/>
            </w:r>
            <w:r>
              <w:rPr>
                <w:rStyle w:val="IndexLink"/>
                <w:rFonts w:cs="Times New Roman" w:ascii="Times New Roman" w:hAnsi="Times New Roman"/>
              </w:rPr>
              <w:t>Pasiūlymo galiojimo užtikrinimas</w:t>
            </w:r>
            <w:r>
              <w:rPr>
                <w:webHidden/>
              </w:rPr>
              <w:fldChar w:fldCharType="begin"/>
            </w:r>
            <w:r>
              <w:rPr>
                <w:webHidden/>
              </w:rPr>
              <w:instrText xml:space="preserve">PAGEREF _Toc213187617 \h</w:instrText>
            </w:r>
            <w:r>
              <w:rPr>
                <w:webHidden/>
              </w:rPr>
              <w:fldChar w:fldCharType="separate"/>
            </w:r>
            <w:r>
              <w:rPr>
                <w:rStyle w:val="IndexLink"/>
              </w:rPr>
              <w:tab/>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8">
            <w:r>
              <w:rPr>
                <w:webHidden/>
                <w:rStyle w:val="IndexLink"/>
                <w:rFonts w:cs="Times New Roman" w:ascii="Times New Roman" w:hAnsi="Times New Roman"/>
                <w:vanish w:val="false"/>
              </w:rPr>
              <w:t>8.</w:t>
            </w:r>
            <w:r>
              <w:rPr>
                <w:rStyle w:val="IndexLink"/>
                <w:kern w:val="2"/>
                <w:sz w:val="24"/>
                <w:szCs w:val="24"/>
                <w14:ligatures w14:val="standardContextual"/>
              </w:rPr>
              <w:tab/>
            </w:r>
            <w:r>
              <w:rPr>
                <w:rStyle w:val="IndexLink"/>
                <w:rFonts w:cs="Times New Roman" w:ascii="Times New Roman" w:hAnsi="Times New Roman"/>
              </w:rPr>
              <w:t>Elektroninis aukcionas</w:t>
            </w:r>
            <w:r>
              <w:rPr>
                <w:webHidden/>
              </w:rPr>
              <w:fldChar w:fldCharType="begin"/>
            </w:r>
            <w:r>
              <w:rPr>
                <w:webHidden/>
              </w:rPr>
              <w:instrText xml:space="preserve">PAGEREF _Toc213187618 \h</w:instrText>
            </w:r>
            <w:r>
              <w:rPr>
                <w:webHidden/>
              </w:rPr>
              <w:fldChar w:fldCharType="separate"/>
            </w:r>
            <w:r>
              <w:rPr>
                <w:rStyle w:val="IndexLink"/>
              </w:rPr>
              <w:tab/>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9">
            <w:r>
              <w:rPr>
                <w:webHidden/>
                <w:rStyle w:val="IndexLink"/>
                <w:rFonts w:cs="Times New Roman" w:ascii="Times New Roman" w:hAnsi="Times New Roman"/>
                <w:vanish w:val="false"/>
              </w:rPr>
              <w:t>9.</w:t>
            </w:r>
            <w:r>
              <w:rPr>
                <w:rStyle w:val="IndexLink"/>
                <w:kern w:val="2"/>
                <w:sz w:val="24"/>
                <w:szCs w:val="24"/>
                <w14:ligatures w14:val="standardContextual"/>
              </w:rPr>
              <w:tab/>
            </w:r>
            <w:r>
              <w:rPr>
                <w:rStyle w:val="IndexLink"/>
                <w:rFonts w:cs="Times New Roman" w:ascii="Times New Roman" w:hAnsi="Times New Roman"/>
              </w:rPr>
              <w:t>Pasiūlymų vertinimas</w:t>
            </w:r>
            <w:r>
              <w:rPr>
                <w:webHidden/>
              </w:rPr>
              <w:fldChar w:fldCharType="begin"/>
            </w:r>
            <w:r>
              <w:rPr>
                <w:webHidden/>
              </w:rPr>
              <w:instrText xml:space="preserve">PAGEREF _Toc213187619 \h</w:instrText>
            </w:r>
            <w:r>
              <w:rPr>
                <w:webHidden/>
              </w:rPr>
              <w:fldChar w:fldCharType="separate"/>
            </w:r>
            <w:r>
              <w:rPr>
                <w:rStyle w:val="IndexLink"/>
              </w:rPr>
              <w:tab/>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20">
            <w:r>
              <w:rPr>
                <w:webHidden/>
                <w:rStyle w:val="IndexLink"/>
                <w:rFonts w:cs="Times New Roman" w:ascii="Times New Roman" w:hAnsi="Times New Roman"/>
                <w:vanish w:val="false"/>
              </w:rPr>
              <w:t>10.</w:t>
            </w:r>
            <w:r>
              <w:rPr>
                <w:rStyle w:val="IndexLink"/>
                <w:kern w:val="2"/>
                <w:sz w:val="24"/>
                <w:szCs w:val="24"/>
                <w14:ligatures w14:val="standardContextual"/>
              </w:rPr>
              <w:tab/>
            </w:r>
            <w:r>
              <w:rPr>
                <w:rStyle w:val="IndexLink"/>
                <w:rFonts w:cs="Times New Roman" w:ascii="Times New Roman" w:hAnsi="Times New Roman"/>
              </w:rPr>
              <w:t>Prekių pavyzdžių pateikimas</w:t>
            </w:r>
            <w:r>
              <w:rPr>
                <w:webHidden/>
              </w:rPr>
              <w:fldChar w:fldCharType="begin"/>
            </w:r>
            <w:r>
              <w:rPr>
                <w:webHidden/>
              </w:rPr>
              <w:instrText xml:space="preserve">PAGEREF _Toc213187620 \h</w:instrText>
            </w:r>
            <w:r>
              <w:rPr>
                <w:webHidden/>
              </w:rPr>
              <w:fldChar w:fldCharType="separate"/>
            </w:r>
            <w:r>
              <w:rPr>
                <w:rStyle w:val="IndexLink"/>
              </w:rPr>
              <w:tab/>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21">
            <w:r>
              <w:rPr>
                <w:webHidden/>
                <w:rStyle w:val="IndexLink"/>
                <w:rFonts w:cs="Times New Roman" w:ascii="Times New Roman" w:hAnsi="Times New Roman"/>
                <w:vanish w:val="false"/>
              </w:rPr>
              <w:t>11.</w:t>
            </w:r>
            <w:r>
              <w:rPr>
                <w:rStyle w:val="IndexLink"/>
                <w:kern w:val="2"/>
                <w:sz w:val="24"/>
                <w:szCs w:val="24"/>
                <w14:ligatures w14:val="standardContextual"/>
              </w:rPr>
              <w:tab/>
            </w:r>
            <w:r>
              <w:rPr>
                <w:rStyle w:val="IndexLink"/>
                <w:rFonts w:cs="Times New Roman" w:ascii="Times New Roman" w:hAnsi="Times New Roman"/>
              </w:rPr>
              <w:t>Sutarties sudarymas</w:t>
            </w:r>
            <w:r>
              <w:rPr>
                <w:webHidden/>
              </w:rPr>
              <w:fldChar w:fldCharType="begin"/>
            </w:r>
            <w:r>
              <w:rPr>
                <w:webHidden/>
              </w:rPr>
              <w:instrText xml:space="preserve">PAGEREF _Toc213187621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22">
            <w:r>
              <w:rPr>
                <w:webHidden/>
                <w:rStyle w:val="IndexLink"/>
                <w:rFonts w:cs="Times New Roman" w:ascii="Times New Roman" w:hAnsi="Times New Roman"/>
                <w:vanish w:val="false"/>
              </w:rPr>
              <w:t>Pirkimo sąlygų 1 priedas „Terminai“</w:t>
            </w:r>
            <w:r>
              <w:rPr>
                <w:webHidden/>
              </w:rPr>
              <w:fldChar w:fldCharType="begin"/>
            </w:r>
            <w:r>
              <w:rPr>
                <w:webHidden/>
              </w:rPr>
              <w:instrText xml:space="preserve">PAGEREF _Toc213187622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3">
            <w:r>
              <w:rPr>
                <w:webHidden/>
                <w:rStyle w:val="IndexLink"/>
                <w:rFonts w:eastAsia="Calibri" w:cs="Times New Roman" w:ascii="Times New Roman" w:hAnsi="Times New Roman"/>
                <w:vanish w:val="false"/>
              </w:rPr>
              <w:t>Pirkimo sąlygų 2 priedas „Techninė specifikacija“</w:t>
            </w:r>
            <w:r>
              <w:rPr>
                <w:webHidden/>
              </w:rPr>
              <w:fldChar w:fldCharType="begin"/>
            </w:r>
            <w:r>
              <w:rPr>
                <w:webHidden/>
              </w:rPr>
              <w:instrText xml:space="preserve">PAGEREF _Toc213187623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4">
            <w:r>
              <w:rPr>
                <w:webHidden/>
                <w:rStyle w:val="IndexLink"/>
                <w:rFonts w:eastAsia="Calibri" w:cs="Times New Roman" w:ascii="Times New Roman" w:hAnsi="Times New Roman"/>
                <w:vanish w:val="false"/>
              </w:rPr>
              <w:t>Pirkimo sąlygų 3 priedas „Tiekėjų pašalinimo pagrindai“</w:t>
            </w:r>
            <w:r>
              <w:rPr>
                <w:webHidden/>
              </w:rPr>
              <w:fldChar w:fldCharType="begin"/>
            </w:r>
            <w:r>
              <w:rPr>
                <w:webHidden/>
              </w:rPr>
              <w:instrText xml:space="preserve">PAGEREF _Toc213187624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5">
            <w:r>
              <w:rPr>
                <w:webHidden/>
                <w:rStyle w:val="IndexLink"/>
                <w:rFonts w:eastAsia="Calibri" w:cs="Times New Roman" w:ascii="Times New Roman" w:hAnsi="Times New Roman"/>
                <w:vanish w:val="false"/>
              </w:rPr>
              <w:t>Pirkimo sąlygų 4 priedas „Tiekėjų kvalifikacijos reikalavimai ir reikalaujami kokybės bei aplinkos apsaugos vadybos sistemų standartai“</w:t>
            </w:r>
            <w:r>
              <w:rPr>
                <w:webHidden/>
              </w:rPr>
              <w:fldChar w:fldCharType="begin"/>
            </w:r>
            <w:r>
              <w:rPr>
                <w:webHidden/>
              </w:rPr>
              <w:instrText xml:space="preserve">PAGEREF _Toc213187625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6">
            <w:r>
              <w:rPr>
                <w:webHidden/>
                <w:rStyle w:val="IndexLink"/>
                <w:rFonts w:eastAsia="Calibri" w:cs="Times New Roman" w:ascii="Times New Roman" w:hAnsi="Times New Roman"/>
                <w:vanish w:val="false"/>
              </w:rPr>
              <w:t xml:space="preserve">Pirkimo sąlygų 5 priedas „EBVPD“ </w:t>
            </w:r>
            <w:r>
              <w:rPr>
                <w:rStyle w:val="IndexLink"/>
                <w:rFonts w:cs="Times New Roman" w:ascii="Times New Roman" w:hAnsi="Times New Roman"/>
              </w:rPr>
              <w:t>(XML formatu)</w:t>
            </w:r>
            <w:r>
              <w:rPr>
                <w:webHidden/>
              </w:rPr>
              <w:fldChar w:fldCharType="begin"/>
            </w:r>
            <w:r>
              <w:rPr>
                <w:webHidden/>
              </w:rPr>
              <w:instrText xml:space="preserve">PAGEREF _Toc213187626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7">
            <w:r>
              <w:rPr>
                <w:webHidden/>
                <w:rStyle w:val="IndexLink"/>
                <w:rFonts w:eastAsia="Calibri" w:cs="Times New Roman" w:ascii="Times New Roman" w:hAnsi="Times New Roman"/>
                <w:vanish w:val="false"/>
              </w:rPr>
              <w:t>Pirkimo sąlygų 6 priedas „Pasiūlymo forma“</w:t>
            </w:r>
            <w:r>
              <w:rPr>
                <w:webHidden/>
              </w:rPr>
              <w:fldChar w:fldCharType="begin"/>
            </w:r>
            <w:r>
              <w:rPr>
                <w:webHidden/>
              </w:rPr>
              <w:instrText xml:space="preserve">PAGEREF _Toc213187627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8">
            <w:r>
              <w:rPr>
                <w:webHidden/>
                <w:rStyle w:val="IndexLink"/>
                <w:rFonts w:eastAsia="Calibri" w:cs="Times New Roman" w:ascii="Times New Roman" w:hAnsi="Times New Roman"/>
                <w:vanish w:val="false"/>
              </w:rPr>
              <w:t>Pirkimo sąlygų 7 priedas „Pasiūlymų vertinimo kriterijai ir sąlygos“</w:t>
            </w:r>
            <w:r>
              <w:rPr>
                <w:webHidden/>
              </w:rPr>
              <w:fldChar w:fldCharType="begin"/>
            </w:r>
            <w:r>
              <w:rPr>
                <w:webHidden/>
              </w:rPr>
              <w:instrText xml:space="preserve">PAGEREF _Toc213187628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31">
            <w:r>
              <w:rPr>
                <w:webHidden/>
                <w:rStyle w:val="IndexLink"/>
                <w:rFonts w:cs="Times New Roman" w:ascii="Times New Roman" w:hAnsi="Times New Roman"/>
                <w:vanish w:val="false"/>
              </w:rPr>
              <w:t xml:space="preserve">Pirkimo sąlygų </w:t>
            </w:r>
            <w:r>
              <w:rPr>
                <w:rStyle w:val="IndexLink"/>
                <w:rFonts w:cs="Times New Roman" w:ascii="Times New Roman" w:hAnsi="Times New Roman"/>
                <w:vanish w:val="false"/>
              </w:rPr>
              <w:t>8</w:t>
            </w:r>
            <w:r>
              <w:rPr>
                <w:rStyle w:val="IndexLink"/>
                <w:rFonts w:cs="Times New Roman" w:ascii="Times New Roman" w:hAnsi="Times New Roman"/>
                <w:vanish w:val="false"/>
              </w:rPr>
              <w:t xml:space="preserve"> priedas „Sutarties projektas“</w:t>
            </w:r>
            <w:r>
              <w:rPr>
                <w:webHidden/>
              </w:rPr>
              <w:fldChar w:fldCharType="begin"/>
            </w:r>
            <w:r>
              <w:rPr>
                <w:webHidden/>
              </w:rPr>
              <w:instrText xml:space="preserve">PAGEREF _Toc213187631 \h</w:instrText>
            </w:r>
            <w:r>
              <w:rPr>
                <w:webHidden/>
              </w:rPr>
              <w:fldChar w:fldCharType="separate"/>
            </w:r>
            <w:r>
              <w:rPr>
                <w:rStyle w:val="IndexLink"/>
              </w:rPr>
              <w:tab/>
            </w:r>
            <w:r>
              <w:rPr>
                <w:webHidden/>
              </w:rPr>
              <w:fldChar w:fldCharType="end"/>
            </w:r>
          </w:hyperlink>
        </w:p>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rPr>
              <w:sz w:val="24"/>
              <w:szCs w:val="24"/>
              <w:rFonts w:cs="Times New Roman" w:ascii="Times New Roman" w:hAnsi="Times New Roman"/>
            </w:rPr>
            <w:fldChar w:fldCharType="end"/>
          </w:r>
        </w:p>
      </w:sdtContent>
    </w:sdt>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br w:type="page"/>
      </w:r>
    </w:p>
    <w:p>
      <w:pPr>
        <w:pStyle w:val="Heading1"/>
        <w:numPr>
          <w:ilvl w:val="0"/>
          <w:numId w:val="1"/>
        </w:numPr>
        <w:spacing w:lineRule="atLeast" w:line="20" w:before="0" w:after="120"/>
        <w:ind w:hanging="567" w:left="567"/>
        <w:contextualSpacing/>
        <w:rPr>
          <w:b/>
          <w:bCs/>
        </w:rPr>
      </w:pPr>
      <w:bookmarkStart w:id="1" w:name="_Toc213187611"/>
      <w:r>
        <w:rPr>
          <w:rFonts w:cs="Times New Roman" w:ascii="Times New Roman" w:hAnsi="Times New Roman"/>
          <w:b/>
          <w:bCs/>
          <w:color w:val="auto"/>
          <w:sz w:val="24"/>
          <w:szCs w:val="24"/>
        </w:rPr>
        <w:t>Bendra informacija</w:t>
      </w:r>
      <w:bookmarkEnd w:id="1"/>
    </w:p>
    <w:p>
      <w:pPr>
        <w:pStyle w:val="ListParagraph"/>
        <w:numPr>
          <w:ilvl w:val="1"/>
          <w:numId w:val="1"/>
        </w:numPr>
        <w:tabs>
          <w:tab w:val="clear" w:pos="1296"/>
          <w:tab w:val="left" w:pos="1134" w:leader="none"/>
        </w:tabs>
        <w:spacing w:lineRule="atLeast" w:line="2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Perkančioji organizacija – </w:t>
      </w:r>
      <w:r>
        <w:rPr>
          <w:rFonts w:eastAsia="Calibri" w:cs="Times New Roman" w:ascii="Times New Roman" w:hAnsi="Times New Roman" w:eastAsiaTheme="minorHAnsi"/>
          <w:sz w:val="24"/>
          <w:szCs w:val="24"/>
          <w:lang w:eastAsia="en-US"/>
        </w:rPr>
        <w:t>Higienos institutas, juridinio asmens kodas 111958286, adresas Studentų g. 45A, Vilnius. Perkančioji organizacija nėra PVM mokėtoja</w:t>
      </w:r>
      <w:r>
        <w:rPr>
          <w:rFonts w:eastAsia="Calibri" w:cs="Times New Roman" w:ascii="Times New Roman" w:hAnsi="Times New Roman"/>
          <w:sz w:val="24"/>
          <w:szCs w:val="24"/>
        </w:rPr>
        <w:t>.</w:t>
      </w:r>
    </w:p>
    <w:p>
      <w:pPr>
        <w:pStyle w:val="ListParagraph"/>
        <w:numPr>
          <w:ilvl w:val="1"/>
          <w:numId w:val="1"/>
        </w:numPr>
        <w:tabs>
          <w:tab w:val="clear" w:pos="1296"/>
          <w:tab w:val="left" w:pos="993" w:leader="none"/>
        </w:tabs>
        <w:spacing w:lineRule="auto" w:line="24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Pirkimas neatliekamas naudojantis centralizuotų pirkimų katalogu, nes</w:t>
      </w:r>
      <w:r>
        <w:rPr>
          <w:rFonts w:cs="Times New Roman" w:ascii="Times New Roman" w:hAnsi="Times New Roman"/>
          <w:sz w:val="24"/>
          <w:szCs w:val="24"/>
          <w:lang w:val="lt-LT"/>
        </w:rPr>
        <w:t xml:space="preserve"> </w:t>
      </w:r>
      <w:r>
        <w:rPr>
          <w:rFonts w:cs="Times New Roman" w:ascii="Times New Roman" w:hAnsi="Times New Roman"/>
          <w:sz w:val="24"/>
          <w:szCs w:val="24"/>
          <w:lang w:val="lt-LT"/>
        </w:rPr>
        <w:t>vaikų vasaros stovyklų</w:t>
      </w:r>
      <w:r>
        <w:rPr>
          <w:rFonts w:cs="Times New Roman" w:ascii="Times New Roman" w:hAnsi="Times New Roman"/>
          <w:sz w:val="24"/>
          <w:szCs w:val="24"/>
          <w:lang w:val="lt-LT"/>
        </w:rPr>
        <w:t xml:space="preserve"> </w:t>
      </w:r>
      <w:r>
        <w:rPr>
          <w:rFonts w:cs="Times New Roman" w:ascii="Times New Roman" w:hAnsi="Times New Roman"/>
          <w:sz w:val="24"/>
          <w:szCs w:val="24"/>
          <w:lang w:val="en-US"/>
        </w:rPr>
        <w:t>paslaug</w:t>
      </w:r>
      <w:r>
        <w:rPr>
          <w:rFonts w:cs="Times New Roman" w:ascii="Times New Roman" w:hAnsi="Times New Roman"/>
          <w:sz w:val="24"/>
          <w:szCs w:val="24"/>
          <w:lang w:val="lt-LT"/>
        </w:rPr>
        <w:t xml:space="preserve">ų </w:t>
      </w:r>
      <w:r>
        <w:rPr>
          <w:rFonts w:eastAsia="Calibri" w:cs="Times New Roman" w:ascii="Times New Roman" w:hAnsi="Times New Roman"/>
          <w:sz w:val="24"/>
          <w:szCs w:val="24"/>
        </w:rPr>
        <w:t xml:space="preserve"> CPO.LT kataloge nėra</w:t>
      </w:r>
      <w:r>
        <w:rPr>
          <w:rFonts w:cs="Times New Roman" w:ascii="Times New Roman" w:hAnsi="Times New Roman"/>
          <w:sz w:val="24"/>
          <w:szCs w:val="24"/>
        </w:rPr>
        <w:t xml:space="preserve">.  </w:t>
      </w:r>
    </w:p>
    <w:p>
      <w:pPr>
        <w:pStyle w:val="ListParagraph"/>
        <w:numPr>
          <w:ilvl w:val="1"/>
          <w:numId w:val="1"/>
        </w:numPr>
        <w:tabs>
          <w:tab w:val="clear" w:pos="1296"/>
          <w:tab w:val="left" w:pos="993" w:leader="none"/>
        </w:tabs>
        <w:spacing w:lineRule="auto" w:line="240" w:before="0" w:after="0"/>
        <w:ind w:firstLine="567" w:left="0"/>
        <w:contextualSpacing/>
        <w:rPr>
          <w:rFonts w:ascii="Times New Roman" w:hAnsi="Times New Roman" w:cs="Times New Roman"/>
          <w:sz w:val="24"/>
          <w:szCs w:val="24"/>
        </w:rPr>
      </w:pPr>
      <w:r>
        <w:rPr>
          <w:rFonts w:eastAsia="Times New Roman" w:cs="Times New Roman" w:ascii="Times New Roman" w:hAnsi="Times New Roman"/>
          <w:sz w:val="24"/>
          <w:szCs w:val="24"/>
        </w:rPr>
        <w:t>Perkančioji organizacija nerezervuoja teisės dalyvauti pirkime.</w:t>
      </w:r>
    </w:p>
    <w:p>
      <w:pPr>
        <w:pStyle w:val="ListParagraph"/>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1.4. Stebėtojai dalyvauti Komisijos posėdžiuose nėra kviečiami.</w:t>
      </w:r>
    </w:p>
    <w:p>
      <w:pPr>
        <w:pStyle w:val="Normal"/>
        <w:tabs>
          <w:tab w:val="clear" w:pos="1296"/>
          <w:tab w:val="left" w:pos="993" w:leader="none"/>
        </w:tabs>
        <w:spacing w:lineRule="auto" w:line="240" w:before="0" w:after="0"/>
        <w:ind w:firstLine="567"/>
        <w:jc w:val="both"/>
        <w:rPr>
          <w:rFonts w:ascii="Times New Roman" w:hAnsi="Times New Roman" w:cs="Times New Roman"/>
          <w:i/>
          <w:i/>
          <w:iCs/>
          <w:sz w:val="24"/>
          <w:szCs w:val="24"/>
        </w:rPr>
      </w:pPr>
      <w:r>
        <w:rPr>
          <w:rFonts w:cs="Times New Roman" w:ascii="Times New Roman" w:hAnsi="Times New Roman"/>
          <w:sz w:val="24"/>
          <w:szCs w:val="24"/>
        </w:rPr>
        <w:t xml:space="preserve">1.5. </w:t>
      </w:r>
      <w:r>
        <w:rPr>
          <w:rFonts w:cs="Times New Roman" w:ascii="Times New Roman" w:hAnsi="Times New Roman"/>
          <w:color w:val="000000"/>
          <w:sz w:val="24"/>
          <w:szCs w:val="24"/>
        </w:rPr>
        <w:t>Atliekamas žaliasis pirkimas.</w:t>
      </w:r>
      <w:r>
        <w:rPr>
          <w:rFonts w:cs="Times New Roman" w:ascii="Times New Roman" w:hAnsi="Times New Roman"/>
          <w:sz w:val="24"/>
          <w:szCs w:val="24"/>
        </w:rPr>
        <w:t xml:space="preserve"> Pirkimas vykdomas vadovaujantis Lietuvos Respublikos aplinkos ministro 2011 m. birželio 28 d. įsakymo Nr. D1-508 „</w:t>
      </w:r>
      <w:hyperlink r:id="rId2">
        <w:r>
          <w:rPr>
            <w:rStyle w:val="Hyperlink"/>
            <w:rFonts w:cs="Times New Roman" w:ascii="Times New Roman" w:hAnsi="Times New Roman"/>
            <w:color w:val="0070C0"/>
            <w:sz w:val="24"/>
            <w:szCs w:val="24"/>
            <w:u w:val="single"/>
          </w:rPr>
          <w:t>Dėl Aplinkos apsaugos kriterijų taikymo, vykdant žaliuosius pirkimus, tvarkos aprašo patvirtinimo</w:t>
        </w:r>
      </w:hyperlink>
      <w:r>
        <w:rPr>
          <w:rFonts w:cs="Times New Roman" w:ascii="Times New Roman" w:hAnsi="Times New Roman"/>
          <w:sz w:val="24"/>
          <w:szCs w:val="24"/>
        </w:rPr>
        <w:t>“ (toliau - Tvarkos aprašas) 4 punktu ir laikomas žaliuoju, nes atitinka 4.4.3  papunktyje nustatytas sąlygas:</w:t>
      </w:r>
    </w:p>
    <w:p>
      <w:pPr>
        <w:pStyle w:val="Normal"/>
        <w:tabs>
          <w:tab w:val="clear" w:pos="1296"/>
          <w:tab w:val="left" w:pos="993" w:leader="none"/>
        </w:tabs>
        <w:spacing w:lineRule="auto" w:line="240" w:before="0" w:after="0"/>
        <w:ind w:firstLine="567"/>
        <w:jc w:val="both"/>
        <w:rPr>
          <w:rFonts w:ascii="Times New Roman" w:hAnsi="Times New Roman" w:cs="Times New Roman"/>
          <w:i/>
          <w:i/>
          <w:iCs/>
          <w:sz w:val="24"/>
          <w:szCs w:val="24"/>
        </w:rPr>
      </w:pPr>
      <w:r>
        <w:rPr>
          <w:rFonts w:cs="Times New Roman" w:ascii="Times New Roman" w:hAnsi="Times New Roman"/>
          <w:sz w:val="24"/>
          <w:szCs w:val="24"/>
        </w:rPr>
        <w:t>1.5.1. 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pPr>
        <w:pStyle w:val="Normal"/>
        <w:tabs>
          <w:tab w:val="clear" w:pos="1296"/>
          <w:tab w:val="left" w:pos="8300" w:leader="none"/>
        </w:tabs>
        <w:spacing w:lineRule="auto" w:line="240" w:before="0" w:after="0"/>
        <w:ind w:firstLine="567"/>
        <w:rPr>
          <w:rFonts w:ascii="Times New Roman" w:hAnsi="Times New Roman" w:cs="Times New Roman"/>
          <w:sz w:val="24"/>
          <w:szCs w:val="24"/>
        </w:rPr>
      </w:pPr>
      <w:r>
        <w:rPr>
          <w:rFonts w:cs="Times New Roman" w:ascii="Times New Roman" w:hAnsi="Times New Roman"/>
          <w:sz w:val="24"/>
          <w:szCs w:val="24"/>
        </w:rPr>
        <w:t xml:space="preserve">1.6. Išankstinis skelbimas apie pirkimą nebuvo paskelbtas. </w:t>
        <w:tab/>
      </w:r>
    </w:p>
    <w:p>
      <w:pPr>
        <w:pStyle w:val="Normal"/>
        <w:tabs>
          <w:tab w:val="clear" w:pos="1296"/>
          <w:tab w:val="left" w:pos="8300" w:leader="none"/>
        </w:tabs>
        <w:spacing w:lineRule="auto" w:line="240" w:before="0" w:after="0"/>
        <w:ind w:firstLine="567"/>
        <w:jc w:val="both"/>
        <w:rPr>
          <w:rFonts w:ascii="Times New Roman" w:hAnsi="Times New Roman" w:cs="Times New Roman"/>
          <w:sz w:val="24"/>
          <w:szCs w:val="24"/>
          <w:lang w:eastAsia="en-US"/>
        </w:rPr>
      </w:pPr>
      <w:r>
        <w:rPr>
          <w:rFonts w:cs="Times New Roman" w:ascii="Times New Roman" w:hAnsi="Times New Roman"/>
          <w:sz w:val="24"/>
          <w:szCs w:val="24"/>
          <w:lang w:eastAsia="en-US"/>
        </w:rPr>
        <w:t xml:space="preserve">1.7. Pirkime </w:t>
      </w:r>
      <w:r>
        <w:rPr>
          <w:rFonts w:cs="Times New Roman" w:ascii="Times New Roman" w:hAnsi="Times New Roman"/>
          <w:sz w:val="24"/>
          <w:szCs w:val="24"/>
        </w:rPr>
        <w:t xml:space="preserve"> perkančioji organizacija</w:t>
      </w:r>
      <w:r>
        <w:rPr>
          <w:rFonts w:cs="Times New Roman" w:ascii="Times New Roman" w:hAnsi="Times New Roman"/>
          <w:sz w:val="24"/>
          <w:szCs w:val="24"/>
          <w:lang w:eastAsia="en-US"/>
        </w:rPr>
        <w:t xml:space="preserve"> nenumato skelbti pranešimo dėl savanoriško </w:t>
      </w:r>
      <w:r>
        <w:rPr>
          <w:rFonts w:cs="Times New Roman" w:ascii="Times New Roman" w:hAnsi="Times New Roman"/>
          <w:i/>
          <w:iCs/>
          <w:sz w:val="24"/>
          <w:szCs w:val="24"/>
          <w:lang w:eastAsia="en-US"/>
        </w:rPr>
        <w:t>ex ante</w:t>
      </w:r>
      <w:r>
        <w:rPr>
          <w:rFonts w:cs="Times New Roman" w:ascii="Times New Roman" w:hAnsi="Times New Roman"/>
          <w:sz w:val="24"/>
          <w:szCs w:val="24"/>
          <w:lang w:eastAsia="en-US"/>
        </w:rPr>
        <w:t xml:space="preserve"> skaidrumo.</w:t>
      </w:r>
    </w:p>
    <w:p>
      <w:pPr>
        <w:pStyle w:val="ListParagraph"/>
        <w:numPr>
          <w:ilvl w:val="1"/>
          <w:numId w:val="6"/>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Pirkime neleidžiama pateikti alternatyvių pasiūlymų. </w:t>
      </w:r>
    </w:p>
    <w:p>
      <w:pPr>
        <w:pStyle w:val="ListParagraph"/>
        <w:numPr>
          <w:ilvl w:val="1"/>
          <w:numId w:val="6"/>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eastAsia="Arial" w:cs="Times New Roman" w:ascii="Times New Roman" w:hAnsi="Times New Roman"/>
          <w:sz w:val="24"/>
          <w:szCs w:val="24"/>
        </w:rPr>
        <w:t>Bendrosios pirkimo sąlygos yra neatskiriama šių pirkimo sąlygų dalis.</w:t>
      </w:r>
    </w:p>
    <w:p>
      <w:pPr>
        <w:pStyle w:val="ListParagraph"/>
        <w:numPr>
          <w:ilvl w:val="0"/>
          <w:numId w:val="0"/>
        </w:numPr>
        <w:tabs>
          <w:tab w:val="clear" w:pos="1296"/>
          <w:tab w:val="left" w:pos="851" w:leader="none"/>
          <w:tab w:val="left" w:pos="993" w:leader="none"/>
          <w:tab w:val="left" w:pos="113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spacing w:lineRule="atLeast" w:line="20" w:before="360" w:after="120"/>
        <w:contextualSpacing/>
        <w:rPr>
          <w:b/>
          <w:bCs/>
        </w:rPr>
      </w:pPr>
      <w:bookmarkStart w:id="2" w:name="_Ref39426332"/>
      <w:bookmarkStart w:id="3" w:name="_Ref39426338"/>
      <w:bookmarkStart w:id="4" w:name="_Toc213187612"/>
      <w:bookmarkStart w:id="5" w:name="_Toc335201954"/>
      <w:bookmarkEnd w:id="5"/>
      <w:r>
        <w:rPr>
          <w:rFonts w:cs="Times New Roman" w:ascii="Times New Roman" w:hAnsi="Times New Roman"/>
          <w:b/>
          <w:bCs/>
          <w:color w:val="auto"/>
          <w:sz w:val="24"/>
          <w:szCs w:val="24"/>
        </w:rPr>
        <w:t>2. Pirkimo objektas</w:t>
      </w:r>
      <w:bookmarkEnd w:id="2"/>
      <w:bookmarkEnd w:id="3"/>
      <w:bookmarkEnd w:id="4"/>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eastAsia="Calibri" w:cs="Times New Roman" w:ascii="Times New Roman" w:hAnsi="Times New Roman"/>
          <w:sz w:val="24"/>
          <w:szCs w:val="24"/>
        </w:rPr>
        <w:t>Perkančioji organizacija numato įsigyti</w:t>
      </w:r>
      <w:r>
        <w:rPr>
          <w:rFonts w:eastAsia="Calibri" w:cs="Times New Roman" w:ascii="Times New Roman" w:hAnsi="Times New Roman"/>
          <w:sz w:val="24"/>
          <w:szCs w:val="24"/>
          <w:lang w:val="en-US"/>
        </w:rPr>
        <w:t xml:space="preserve"> </w:t>
      </w:r>
      <w:r>
        <w:rPr>
          <w:rFonts w:eastAsia="Calibri" w:cs="Times New Roman" w:ascii="Times New Roman" w:hAnsi="Times New Roman"/>
          <w:sz w:val="24"/>
          <w:szCs w:val="24"/>
          <w:lang w:val="en-US"/>
        </w:rPr>
        <w:t>vaik</w:t>
      </w:r>
      <w:r>
        <w:rPr>
          <w:rFonts w:eastAsia="Calibri" w:cs="Times New Roman" w:ascii="Times New Roman" w:hAnsi="Times New Roman"/>
          <w:sz w:val="24"/>
          <w:szCs w:val="24"/>
          <w:lang w:val="lt-LT"/>
        </w:rPr>
        <w:t>ų vasaros užimtumo veiklų organizavimo stiprinant vaikų ir jų šeimų sveiką gyvenseną, įskaitant fizinę ir psichinę sveikatą bei psichologinį atsparumą, paslaugos</w:t>
      </w:r>
      <w:r>
        <w:rPr>
          <w:rFonts w:eastAsia="Calibri" w:cs="Times New Roman" w:ascii="Times New Roman" w:hAnsi="Times New Roman"/>
          <w:sz w:val="24"/>
          <w:szCs w:val="24"/>
          <w:lang w:val="en-US"/>
        </w:rPr>
        <w:t xml:space="preserve"> </w:t>
      </w:r>
      <w:r>
        <w:rPr>
          <w:rFonts w:eastAsia="Calibri" w:cs="Times New Roman" w:ascii="Times New Roman" w:hAnsi="Times New Roman"/>
          <w:b/>
          <w:bCs/>
          <w:sz w:val="24"/>
          <w:szCs w:val="24"/>
        </w:rPr>
        <w:t xml:space="preserve"> </w:t>
      </w:r>
      <w:r>
        <w:rPr>
          <w:rFonts w:eastAsia="Calibri" w:cs="Times New Roman" w:ascii="Times New Roman" w:hAnsi="Times New Roman"/>
          <w:sz w:val="24"/>
          <w:szCs w:val="24"/>
        </w:rPr>
        <w:t>(toliau – paslaugos).</w:t>
      </w:r>
      <w:r>
        <w:rPr>
          <w:rFonts w:cs="Times New Roman" w:ascii="Times New Roman" w:hAnsi="Times New Roman"/>
          <w:sz w:val="24"/>
          <w:szCs w:val="24"/>
        </w:rPr>
        <w:t xml:space="preserve"> Reikalavimai pirkimo objektui nustatyti specialiųjų pirkimo sąlygų 2 priede „Techninė specifikacija“.</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Vadovaujantis VPĮ 27 straipsnio nuostatomis, CVP IS (adresu </w:t>
      </w:r>
      <w:hyperlink r:id="rId3">
        <w:r>
          <w:rPr>
            <w:rStyle w:val="Hyperlink"/>
            <w:rFonts w:cs="Times New Roman" w:ascii="Times New Roman" w:hAnsi="Times New Roman"/>
            <w:sz w:val="24"/>
            <w:szCs w:val="24"/>
          </w:rPr>
          <w:t>https://viesiejipirkimai.lt</w:t>
        </w:r>
      </w:hyperlink>
      <w:r>
        <w:rPr>
          <w:rFonts w:cs="Times New Roman" w:ascii="Times New Roman" w:hAnsi="Times New Roman"/>
          <w:sz w:val="24"/>
          <w:szCs w:val="24"/>
        </w:rPr>
        <w:t xml:space="preserve">) buvo viešai skelbta išankstinė rinkos konsultacija. </w:t>
      </w:r>
      <w:r>
        <w:rPr>
          <w:rFonts w:cs="Times New Roman" w:ascii="Times New Roman" w:hAnsi="Times New Roman"/>
          <w:sz w:val="24"/>
          <w:szCs w:val="24"/>
        </w:rPr>
        <w:t xml:space="preserve">Rinkos konsultacijos ID 7746581 </w:t>
      </w:r>
      <w:r>
        <w:rPr>
          <w:rFonts w:cs="Times New Roman" w:ascii="Times New Roman" w:hAnsi="Times New Roman"/>
          <w:sz w:val="24"/>
          <w:szCs w:val="24"/>
        </w:rPr>
        <w:t xml:space="preserve">. </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Pirkimo objektas kiekybiniu pagrindu skaidomas į</w:t>
      </w:r>
      <w:r>
        <w:rPr>
          <w:rFonts w:cs="Times New Roman" w:ascii="Times New Roman" w:hAnsi="Times New Roman"/>
          <w:sz w:val="24"/>
          <w:szCs w:val="24"/>
          <w:lang w:val="lt-LT"/>
        </w:rPr>
        <w:t xml:space="preserve"> </w:t>
      </w:r>
      <w:r>
        <w:rPr>
          <w:rFonts w:cs="Times New Roman" w:ascii="Times New Roman" w:hAnsi="Times New Roman"/>
          <w:sz w:val="24"/>
          <w:szCs w:val="24"/>
          <w:lang w:val="lt-LT"/>
        </w:rPr>
        <w:t>10</w:t>
      </w:r>
      <w:r>
        <w:rPr>
          <w:rFonts w:cs="Times New Roman" w:ascii="Times New Roman" w:hAnsi="Times New Roman"/>
          <w:i/>
          <w:iCs/>
          <w:sz w:val="24"/>
          <w:szCs w:val="24"/>
          <w:lang w:val="lt-LT"/>
        </w:rPr>
        <w:t xml:space="preserve"> </w:t>
      </w:r>
      <w:r>
        <w:rPr>
          <w:rFonts w:cs="Times New Roman" w:ascii="Times New Roman" w:hAnsi="Times New Roman"/>
          <w:sz w:val="24"/>
          <w:szCs w:val="24"/>
        </w:rPr>
        <w:t>dali</w:t>
      </w:r>
      <w:r>
        <w:rPr>
          <w:rFonts w:cs="Times New Roman" w:ascii="Times New Roman" w:hAnsi="Times New Roman"/>
          <w:sz w:val="24"/>
          <w:szCs w:val="24"/>
        </w:rPr>
        <w:t>ų</w:t>
      </w:r>
      <w:r>
        <w:rPr>
          <w:rFonts w:cs="Times New Roman" w:ascii="Times New Roman" w:hAnsi="Times New Roman"/>
          <w:sz w:val="24"/>
          <w:szCs w:val="24"/>
        </w:rPr>
        <w:t xml:space="preserve">, kurių apimtys ir dalykas, reikalavimai ir techninė specifikacija apibrėžti </w:t>
      </w:r>
      <w:bookmarkStart w:id="6" w:name="_Hlk91152632"/>
      <w:r>
        <w:rPr>
          <w:rFonts w:cs="Times New Roman" w:ascii="Times New Roman" w:hAnsi="Times New Roman"/>
          <w:sz w:val="24"/>
          <w:szCs w:val="24"/>
        </w:rPr>
        <w:t>specialiųjų pirkimo sąlygų 2 priede</w:t>
      </w:r>
      <w:bookmarkEnd w:id="6"/>
      <w:r>
        <w:rPr>
          <w:rFonts w:cs="Times New Roman" w:ascii="Times New Roman" w:hAnsi="Times New Roman"/>
          <w:sz w:val="24"/>
          <w:szCs w:val="24"/>
        </w:rPr>
        <w:t xml:space="preserve"> „Techninė specifikacija“. Perkančioji organizacija sudarys vieną sutartį dėl pirkimo dalių, dėl kurių laimėtoju nustatytas tas pats tiekėjas.</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pPr>
        <w:pStyle w:val="Heading1"/>
        <w:spacing w:lineRule="atLeast" w:line="20" w:before="360" w:after="120"/>
        <w:contextualSpacing/>
        <w:rPr>
          <w:b/>
          <w:bCs/>
        </w:rPr>
      </w:pPr>
      <w:bookmarkStart w:id="7" w:name="_Toc213187613"/>
      <w:r>
        <w:rPr>
          <w:rFonts w:cs="Times New Roman" w:ascii="Times New Roman" w:hAnsi="Times New Roman"/>
          <w:b/>
          <w:bCs/>
          <w:color w:val="auto"/>
          <w:sz w:val="24"/>
          <w:szCs w:val="24"/>
        </w:rPr>
        <w:t xml:space="preserve">3. </w:t>
      </w:r>
      <w:bookmarkStart w:id="8" w:name="_Ref39740354"/>
      <w:bookmarkStart w:id="9" w:name="_Ref39427921"/>
      <w:bookmarkStart w:id="10" w:name="_Ref39427927"/>
      <w:r>
        <w:rPr>
          <w:rFonts w:cs="Times New Roman" w:ascii="Times New Roman" w:hAnsi="Times New Roman"/>
          <w:b/>
          <w:bCs/>
          <w:color w:val="auto"/>
          <w:sz w:val="24"/>
          <w:szCs w:val="24"/>
        </w:rPr>
        <w:t>Susitikimai su tiekėjais</w:t>
      </w:r>
      <w:bookmarkEnd w:id="9"/>
      <w:bookmarkEnd w:id="10"/>
      <w:r>
        <w:rPr>
          <w:rFonts w:cs="Times New Roman" w:ascii="Times New Roman" w:hAnsi="Times New Roman"/>
          <w:b/>
          <w:bCs/>
          <w:color w:val="auto"/>
          <w:sz w:val="24"/>
          <w:szCs w:val="24"/>
        </w:rPr>
        <w:t xml:space="preserve"> ir objekto apžiūra</w:t>
      </w:r>
      <w:bookmarkEnd w:id="7"/>
      <w:bookmarkEnd w:id="8"/>
    </w:p>
    <w:p>
      <w:pPr>
        <w:pStyle w:val="ListParagraph"/>
        <w:spacing w:before="0" w:after="0"/>
        <w:ind w:firstLine="567" w:left="0"/>
        <w:contextualSpacing/>
        <w:jc w:val="both"/>
        <w:rPr>
          <w:rFonts w:ascii="Times New Roman" w:hAnsi="Times New Roman" w:cs="Times New Roman"/>
          <w:sz w:val="24"/>
          <w:szCs w:val="24"/>
        </w:rPr>
      </w:pPr>
      <w:r>
        <w:rPr>
          <w:rFonts w:cs="Times New Roman" w:ascii="Times New Roman" w:hAnsi="Times New Roman"/>
          <w:iCs/>
          <w:sz w:val="24"/>
          <w:szCs w:val="24"/>
        </w:rPr>
        <w:t>3.1.</w:t>
      </w:r>
      <w:r>
        <w:rPr>
          <w:rFonts w:cs="Times New Roman" w:ascii="Times New Roman" w:hAnsi="Times New Roman"/>
          <w:i/>
          <w:sz w:val="24"/>
          <w:szCs w:val="24"/>
        </w:rPr>
        <w:t xml:space="preserve"> </w:t>
      </w:r>
      <w:r>
        <w:rPr>
          <w:rFonts w:cs="Times New Roman" w:ascii="Times New Roman" w:hAnsi="Times New Roman"/>
          <w:sz w:val="24"/>
          <w:szCs w:val="24"/>
        </w:rPr>
        <w:t>Perkančioji organizacija nerengs susitikimo su tiekėjais dėl pirkimo sąlygų paaiškinimo.</w:t>
      </w:r>
    </w:p>
    <w:p>
      <w:pPr>
        <w:pStyle w:val="Heading1"/>
        <w:spacing w:lineRule="atLeast" w:line="20" w:before="360" w:after="120"/>
        <w:contextualSpacing/>
        <w:rPr>
          <w:b/>
          <w:bCs/>
        </w:rPr>
      </w:pPr>
      <w:bookmarkStart w:id="11" w:name="_Toc213187614"/>
      <w:bookmarkStart w:id="12" w:name="_Ref39473754"/>
      <w:bookmarkStart w:id="13" w:name="_Ref39473761"/>
      <w:bookmarkStart w:id="14" w:name="_Ref39474188"/>
      <w:r>
        <w:rPr>
          <w:rFonts w:cs="Times New Roman" w:ascii="Times New Roman" w:hAnsi="Times New Roman"/>
          <w:b/>
          <w:bCs/>
          <w:color w:val="auto"/>
          <w:sz w:val="24"/>
          <w:szCs w:val="24"/>
        </w:rPr>
        <w:t>4. Tiekėjų pašalinimo pagrindai</w:t>
      </w:r>
      <w:bookmarkEnd w:id="12"/>
      <w:bookmarkEnd w:id="13"/>
      <w:bookmarkEnd w:id="14"/>
      <w:r>
        <w:rPr>
          <w:rFonts w:cs="Times New Roman" w:ascii="Times New Roman" w:hAnsi="Times New Roman"/>
          <w:b/>
          <w:bCs/>
          <w:color w:val="auto"/>
          <w:sz w:val="24"/>
          <w:szCs w:val="24"/>
        </w:rPr>
        <w:t xml:space="preserve"> ir kvalifikacijos reikalavimai</w:t>
      </w:r>
      <w:bookmarkEnd w:id="11"/>
    </w:p>
    <w:p>
      <w:pPr>
        <w:pStyle w:val="ListParagraph"/>
        <w:spacing w:lineRule="atLeast" w:line="20"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4.1. Reikalavimai dėl tiekėjo ir</w:t>
      </w:r>
      <w:bookmarkStart w:id="15" w:name="_Hlk41039660"/>
      <w:r>
        <w:rPr>
          <w:rFonts w:cs="Times New Roman" w:ascii="Times New Roman" w:hAnsi="Times New Roman"/>
          <w:sz w:val="24"/>
          <w:szCs w:val="24"/>
        </w:rPr>
        <w:t xml:space="preserve"> subtiekėjų (jei taikoma), ūkio subjektų, kurių pajėgumais tiekėjas remiasi, </w:t>
      </w:r>
      <w:bookmarkEnd w:id="15"/>
      <w:r>
        <w:rPr>
          <w:rFonts w:cs="Times New Roman" w:ascii="Times New Roman" w:hAnsi="Times New Roman"/>
          <w:sz w:val="24"/>
          <w:szCs w:val="24"/>
        </w:rPr>
        <w:t xml:space="preserve">pašalinimo pagrindų nebuvimo bei jų nebuvimą patvirtinantys dokumentai nurodyti specialiųjų </w:t>
      </w:r>
      <w:r>
        <w:rPr>
          <w:rFonts w:eastAsia="Calibri" w:cs="Times New Roman" w:ascii="Times New Roman" w:hAnsi="Times New Roman"/>
          <w:sz w:val="24"/>
          <w:szCs w:val="24"/>
        </w:rPr>
        <w:t xml:space="preserve">pirkimo sąlygų </w:t>
      </w:r>
      <w:r>
        <w:rPr>
          <w:rFonts w:cs="Times New Roman" w:ascii="Times New Roman" w:hAnsi="Times New Roman"/>
          <w:sz w:val="24"/>
          <w:szCs w:val="24"/>
        </w:rPr>
        <w:t xml:space="preserve">3 </w:t>
      </w:r>
      <w:r>
        <w:rPr>
          <w:rFonts w:eastAsia="Calibri" w:cs="Times New Roman" w:ascii="Times New Roman" w:hAnsi="Times New Roman"/>
          <w:sz w:val="24"/>
          <w:szCs w:val="24"/>
        </w:rPr>
        <w:t>priede</w:t>
      </w:r>
      <w:r>
        <w:rPr>
          <w:rFonts w:cs="Times New Roman" w:ascii="Times New Roman" w:hAnsi="Times New Roman"/>
          <w:sz w:val="24"/>
          <w:szCs w:val="24"/>
        </w:rPr>
        <w:t xml:space="preserve">. </w:t>
      </w:r>
    </w:p>
    <w:p>
      <w:pPr>
        <w:pStyle w:val="ListParagraph"/>
        <w:tabs>
          <w:tab w:val="clear" w:pos="1296"/>
          <w:tab w:val="left" w:pos="851" w:leader="none"/>
        </w:tabs>
        <w:spacing w:lineRule="atLeast" w:line="20" w:before="0" w:after="0"/>
        <w:ind w:firstLine="567" w:left="0"/>
        <w:contextualSpacing/>
        <w:jc w:val="both"/>
        <w:rPr>
          <w:rFonts w:ascii="Times New Roman" w:hAnsi="Times New Roman" w:cs="Times New Roman"/>
          <w:sz w:val="24"/>
          <w:szCs w:val="24"/>
          <w:highlight w:val="yellow"/>
        </w:rPr>
      </w:pPr>
      <w:r>
        <w:rPr>
          <w:rFonts w:cs="Times New Roman" w:ascii="Times New Roman" w:hAnsi="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pPr>
        <w:pStyle w:val="Heading1"/>
        <w:tabs>
          <w:tab w:val="clear" w:pos="1296"/>
          <w:tab w:val="left" w:pos="567" w:leader="none"/>
        </w:tabs>
        <w:spacing w:before="360" w:after="0"/>
        <w:contextualSpacing/>
        <w:jc w:val="both"/>
        <w:rPr>
          <w:b/>
          <w:bCs/>
        </w:rPr>
      </w:pPr>
      <w:bookmarkStart w:id="16" w:name="_Toc213187615"/>
      <w:r>
        <w:rPr>
          <w:rFonts w:cs="Times New Roman" w:ascii="Times New Roman" w:hAnsi="Times New Roman"/>
          <w:b/>
          <w:bCs/>
          <w:color w:val="auto"/>
          <w:sz w:val="24"/>
          <w:szCs w:val="24"/>
        </w:rPr>
        <w:t>5. Reikalavimai, susiję su nacionaliniu saugumu</w:t>
      </w:r>
      <w:bookmarkEnd w:id="16"/>
      <w:r>
        <w:rPr>
          <w:rFonts w:cs="Times New Roman" w:ascii="Times New Roman" w:hAnsi="Times New Roman"/>
          <w:b/>
          <w:bCs/>
          <w:color w:val="auto"/>
          <w:sz w:val="24"/>
          <w:szCs w:val="24"/>
        </w:rPr>
        <w:t xml:space="preserve"> </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xml:space="preserve">5.1. Pirkimui </w:t>
      </w:r>
      <w:r>
        <w:rPr>
          <w:rFonts w:cs="Times New Roman" w:ascii="Times New Roman" w:hAnsi="Times New Roman"/>
          <w:sz w:val="24"/>
          <w:szCs w:val="24"/>
        </w:rPr>
        <w:t>ne</w:t>
      </w:r>
      <w:r>
        <w:rPr>
          <w:rFonts w:cs="Times New Roman" w:ascii="Times New Roman" w:hAnsi="Times New Roman"/>
          <w:sz w:val="24"/>
          <w:szCs w:val="24"/>
        </w:rPr>
        <w:t xml:space="preserve">taikomos Reglamento nuostatos. </w:t>
      </w:r>
    </w:p>
    <w:p>
      <w:pPr>
        <w:pStyle w:val="Normal"/>
        <w:spacing w:lineRule="auto" w:line="240" w:before="0" w:after="0"/>
        <w:ind w:firstLine="567"/>
        <w:jc w:val="both"/>
        <w:rPr>
          <w:rFonts w:ascii="Times New Roman" w:hAnsi="Times New Roman" w:cs="Times New Roman"/>
          <w:sz w:val="24"/>
          <w:szCs w:val="24"/>
          <w:highlight w:val="yellow"/>
        </w:rPr>
      </w:pPr>
      <w:r>
        <w:rPr>
          <w:rFonts w:cs="Times New Roman" w:ascii="Times New Roman" w:hAnsi="Times New Roman"/>
          <w:sz w:val="24"/>
          <w:szCs w:val="24"/>
          <w:highlight w:val="yellow"/>
        </w:rPr>
      </w:r>
    </w:p>
    <w:p>
      <w:pPr>
        <w:pStyle w:val="Heading1"/>
        <w:spacing w:lineRule="atLeast" w:line="20" w:before="360" w:after="120"/>
        <w:contextualSpacing/>
        <w:rPr>
          <w:rFonts w:ascii="Times New Roman" w:hAnsi="Times New Roman" w:cs="Times New Roman"/>
          <w:color w:val="auto"/>
          <w:sz w:val="24"/>
          <w:szCs w:val="24"/>
        </w:rPr>
      </w:pPr>
      <w:bookmarkStart w:id="17" w:name="_Ref39666794"/>
      <w:bookmarkStart w:id="18" w:name="_Ref39666796"/>
      <w:bookmarkStart w:id="19" w:name="_Toc213187616"/>
      <w:r>
        <w:rPr>
          <w:rFonts w:cs="Times New Roman" w:ascii="Times New Roman" w:hAnsi="Times New Roman"/>
          <w:b/>
          <w:bCs/>
          <w:color w:val="auto"/>
          <w:sz w:val="24"/>
          <w:szCs w:val="24"/>
        </w:rPr>
        <w:t>6.</w:t>
      </w:r>
      <w:r>
        <w:rPr>
          <w:rFonts w:cs="Times New Roman" w:ascii="Times New Roman" w:hAnsi="Times New Roman"/>
          <w:color w:val="auto"/>
          <w:sz w:val="24"/>
          <w:szCs w:val="24"/>
        </w:rPr>
        <w:t xml:space="preserve"> </w:t>
      </w:r>
      <w:r>
        <w:rPr>
          <w:rFonts w:cs="Times New Roman" w:ascii="Times New Roman" w:hAnsi="Times New Roman"/>
          <w:b/>
          <w:bCs/>
          <w:color w:val="auto"/>
          <w:sz w:val="24"/>
          <w:szCs w:val="24"/>
        </w:rPr>
        <w:t>Specialieji reikalavimai pasiūlymų rengimui ir pateikimui</w:t>
      </w:r>
      <w:bookmarkEnd w:id="17"/>
      <w:bookmarkEnd w:id="18"/>
      <w:bookmarkEnd w:id="19"/>
    </w:p>
    <w:p>
      <w:pPr>
        <w:pStyle w:val="Normal"/>
        <w:spacing w:lineRule="atLeast" w:line="20" w:before="0" w:after="0"/>
        <w:ind w:firstLine="567"/>
        <w:jc w:val="both"/>
        <w:rPr>
          <w:rFonts w:ascii="Times New Roman" w:hAnsi="Times New Roman" w:cs="Times New Roman"/>
          <w:sz w:val="24"/>
          <w:szCs w:val="24"/>
        </w:rPr>
      </w:pPr>
      <w:r>
        <w:rPr>
          <w:rFonts w:cs="Times New Roman" w:ascii="Times New Roman" w:hAnsi="Times New Roman"/>
          <w:sz w:val="24"/>
          <w:szCs w:val="24"/>
        </w:rPr>
        <w:t>6.1. Tiekėjo pasiūlymą sudaro CVP IS pateikiamų ir žemiau nurodytų dokumentų visuma:</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 xml:space="preserve">tiekėjo pasiūlymas, parengtas pagal specialiųjų pirkimo sąlygų </w:t>
      </w:r>
      <w:r>
        <w:rPr>
          <w:rFonts w:cs="Times New Roman" w:ascii="Times New Roman" w:hAnsi="Times New Roman"/>
          <w:sz w:val="24"/>
          <w:szCs w:val="24"/>
          <w:shd w:fill="FFFFFF" w:val="clear"/>
        </w:rPr>
        <w:t xml:space="preserve">6 </w:t>
      </w:r>
      <w:r>
        <w:rPr>
          <w:rFonts w:cs="Times New Roman" w:ascii="Times New Roman" w:hAnsi="Times New Roman"/>
          <w:sz w:val="24"/>
          <w:szCs w:val="24"/>
        </w:rPr>
        <w:t>priede pateiktą pasiūlymo formą.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užpildytas EBVPD (specialiųjų pirkimo sąlygų 5 priedas). Pateikdamas pasiūlymą, tiekėjas patvirtina ir EBVPD tikrumą;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jungtinės veiklos sutarties kopija (jeigu pirkime dalyvauja ūkio subjektų grupė jungtinės veiklos sutarties pagrindu);</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dokumentas, patvirtinantis, kad asmuo, kuris pateikė pasiūlymą (jei jis ne tiekėjo vadovas), turėjo teisę jį pasirašyti;</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ūkio subjektus, kurių pajėgumais remiasi, – įrodymai, kad šie ištekliai bus prieinami per visą sutartinių įsipareigojimų vykdymo laikotarpį;</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subtiekėjus, subtiekėjo deklaracija ar kitas dokumentas, patvirtinantis jo sutikimą būti subtiekėju pirkime;</w:t>
      </w:r>
    </w:p>
    <w:p>
      <w:pPr>
        <w:pStyle w:val="ListParagraph"/>
        <w:numPr>
          <w:ilvl w:val="0"/>
          <w:numId w:val="0"/>
        </w:numPr>
        <w:tabs>
          <w:tab w:val="clear" w:pos="1296"/>
          <w:tab w:val="left" w:pos="1276" w:leader="none"/>
        </w:tabs>
        <w:spacing w:lineRule="auto" w:line="240" w:before="0" w:after="0"/>
        <w:ind w:hanging="0" w:left="0"/>
        <w:contextualSpacing/>
        <w:jc w:val="both"/>
        <w:rPr>
          <w:rFonts w:ascii="Times New Roman" w:hAnsi="Times New Roman" w:cs="Times New Roman"/>
          <w:sz w:val="24"/>
          <w:szCs w:val="24"/>
          <w:u w:val="single"/>
        </w:rPr>
      </w:pPr>
      <w:r>
        <w:rPr/>
      </w:r>
    </w:p>
    <w:p>
      <w:pPr>
        <w:pStyle w:val="Normal"/>
        <w:spacing w:lineRule="auto" w:line="240" w:before="0" w:after="0"/>
        <w:ind w:firstLine="567"/>
        <w:jc w:val="both"/>
        <w:rPr>
          <w:rFonts w:ascii="Times New Roman" w:hAnsi="Times New Roman" w:eastAsia="Calibri" w:cs="Times New Roman"/>
          <w:bCs/>
          <w:iCs/>
          <w:sz w:val="24"/>
          <w:szCs w:val="24"/>
        </w:rPr>
      </w:pPr>
      <w:r>
        <w:rPr>
          <w:rFonts w:cs="Times New Roman" w:ascii="Times New Roman" w:hAnsi="Times New Roman"/>
          <w:sz w:val="24"/>
          <w:szCs w:val="24"/>
        </w:rPr>
        <w:t>6.2. Perkančioji organizacija nereikalauja, kad pasiūlymas būtų pasirašytas.</w:t>
      </w:r>
    </w:p>
    <w:p>
      <w:pPr>
        <w:pStyle w:val="ListParagraph"/>
        <w:tabs>
          <w:tab w:val="clear" w:pos="1296"/>
          <w:tab w:val="left" w:pos="1276" w:leader="none"/>
          <w:tab w:val="left" w:pos="1418" w:leader="none"/>
        </w:tabs>
        <w:spacing w:lineRule="auto" w:line="240" w:before="0" w:after="0"/>
        <w:ind w:left="567"/>
        <w:contextualSpacing/>
        <w:jc w:val="both"/>
        <w:rPr>
          <w:rFonts w:ascii="Times New Roman" w:hAnsi="Times New Roman" w:cs="Times New Roman"/>
          <w:bCs/>
          <w:iCs/>
          <w:sz w:val="24"/>
          <w:szCs w:val="24"/>
        </w:rPr>
      </w:pPr>
      <w:r>
        <w:rPr>
          <w:rFonts w:cs="Times New Roman" w:ascii="Times New Roman" w:hAnsi="Times New Roman"/>
          <w:bCs/>
          <w:iCs/>
          <w:sz w:val="24"/>
          <w:szCs w:val="24"/>
        </w:rPr>
      </w:r>
    </w:p>
    <w:p>
      <w:pPr>
        <w:pStyle w:val="Normal"/>
        <w:tabs>
          <w:tab w:val="clear" w:pos="1296"/>
          <w:tab w:val="left" w:pos="993" w:leader="none"/>
        </w:tabs>
        <w:spacing w:lineRule="auto" w:line="240"/>
        <w:ind w:firstLine="567"/>
        <w:jc w:val="both"/>
        <w:rPr>
          <w:rFonts w:ascii="Times New Roman" w:hAnsi="Times New Roman" w:cs="Times New Roman"/>
          <w:sz w:val="24"/>
          <w:szCs w:val="24"/>
        </w:rPr>
      </w:pPr>
      <w:r>
        <w:rPr>
          <w:rFonts w:cs="Times New Roman" w:ascii="Times New Roman" w:hAnsi="Times New Roman"/>
          <w:sz w:val="24"/>
          <w:szCs w:val="24"/>
        </w:rPr>
        <w:t xml:space="preserve">6.3. Pasiūlymas turi būti parengtas lietuvių kalba arba anglų kalba (tačiau, viešojo pirkimo komisijai pareikalavus, turės būti pateikti dokumentų vertimai į lietuvių kalbą). </w:t>
      </w:r>
      <w:r>
        <w:rPr>
          <w:rFonts w:eastAsia="Arial" w:cs="Times New Roman" w:ascii="Times New Roman" w:hAnsi="Times New Roman"/>
          <w:sz w:val="24"/>
          <w:szCs w:val="24"/>
        </w:rPr>
        <w:t xml:space="preserve">Jei kurie nors su pasiūlymu teikiami dokumentai parengti ne ta kalba, kuria reikalaujama, turi būti pateiktas tikslus vertimas į reikalaujamą kalbą. </w:t>
      </w:r>
      <w:r>
        <w:rPr>
          <w:rFonts w:cs="Times New Roman" w:ascii="Times New Roman" w:hAnsi="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pPr>
        <w:pStyle w:val="ListParagraph"/>
        <w:numPr>
          <w:ilvl w:val="1"/>
          <w:numId w:val="19"/>
        </w:numPr>
        <w:tabs>
          <w:tab w:val="clear" w:pos="1296"/>
          <w:tab w:val="left" w:pos="993" w:leader="none"/>
        </w:tabs>
        <w:spacing w:lineRule="auto" w:line="240"/>
        <w:ind w:firstLine="567" w:left="0"/>
        <w:jc w:val="both"/>
        <w:rPr>
          <w:rFonts w:ascii="Times New Roman" w:hAnsi="Times New Roman" w:cs="Times New Roman"/>
          <w:sz w:val="24"/>
          <w:szCs w:val="24"/>
        </w:rPr>
      </w:pPr>
      <w:r>
        <w:rPr>
          <w:rFonts w:eastAsia="Arial" w:cs="Times New Roman" w:ascii="Times New Roman" w:hAnsi="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pPr>
        <w:pStyle w:val="ListParagraph"/>
        <w:numPr>
          <w:ilvl w:val="1"/>
          <w:numId w:val="19"/>
        </w:numPr>
        <w:tabs>
          <w:tab w:val="clear" w:pos="1296"/>
          <w:tab w:val="left" w:pos="993" w:leader="none"/>
        </w:tabs>
        <w:spacing w:lineRule="auto" w:line="240"/>
        <w:ind w:firstLine="567" w:left="0"/>
        <w:jc w:val="both"/>
        <w:rPr>
          <w:rFonts w:ascii="Times New Roman" w:hAnsi="Times New Roman" w:cs="Times New Roman"/>
          <w:sz w:val="24"/>
          <w:szCs w:val="24"/>
        </w:rPr>
      </w:pPr>
      <w:r>
        <w:rPr>
          <w:rFonts w:eastAsia="Arial" w:cs="Times New Roman" w:ascii="Times New Roman" w:hAnsi="Times New Roman"/>
          <w:sz w:val="24"/>
          <w:szCs w:val="24"/>
        </w:rPr>
        <w:t xml:space="preserve">Tiekėjų pasiūlymuose nurodytos kainos bus vertinamos </w:t>
      </w:r>
      <w:r>
        <w:rPr>
          <w:rFonts w:cs="Times New Roman" w:ascii="Times New Roman" w:hAnsi="Times New Roman"/>
          <w:sz w:val="24"/>
          <w:szCs w:val="24"/>
        </w:rPr>
        <w:t xml:space="preserve">ir lyginamos su visais mokesčiais, įskaitant PVM. </w:t>
      </w:r>
    </w:p>
    <w:p>
      <w:pPr>
        <w:pStyle w:val="Heading1"/>
        <w:numPr>
          <w:ilvl w:val="0"/>
          <w:numId w:val="19"/>
        </w:numPr>
        <w:tabs>
          <w:tab w:val="clear" w:pos="1296"/>
          <w:tab w:val="left" w:pos="709" w:leader="none"/>
        </w:tabs>
        <w:rPr>
          <w:b/>
          <w:bCs/>
        </w:rPr>
      </w:pPr>
      <w:bookmarkStart w:id="20" w:name="_Ref39430768"/>
      <w:bookmarkStart w:id="21" w:name="_Ref39430779"/>
      <w:bookmarkStart w:id="22" w:name="_Toc213187617"/>
      <w:bookmarkStart w:id="23" w:name="_Toc91497102"/>
      <w:bookmarkStart w:id="24" w:name="_Toc91497103"/>
      <w:bookmarkStart w:id="25" w:name="_Toc91497104"/>
      <w:bookmarkStart w:id="26" w:name="_Toc91497105"/>
      <w:bookmarkStart w:id="27" w:name="_Toc91497106"/>
      <w:bookmarkEnd w:id="23"/>
      <w:bookmarkEnd w:id="24"/>
      <w:bookmarkEnd w:id="25"/>
      <w:bookmarkEnd w:id="26"/>
      <w:bookmarkEnd w:id="27"/>
      <w:r>
        <w:rPr>
          <w:rFonts w:cs="Times New Roman" w:ascii="Times New Roman" w:hAnsi="Times New Roman"/>
          <w:b/>
          <w:bCs/>
          <w:color w:val="auto"/>
          <w:sz w:val="24"/>
          <w:szCs w:val="24"/>
        </w:rPr>
        <w:t>Pasiūlymo galiojimo užtikrinimas</w:t>
      </w:r>
      <w:bookmarkEnd w:id="20"/>
      <w:bookmarkEnd w:id="21"/>
      <w:bookmarkEnd w:id="22"/>
    </w:p>
    <w:p>
      <w:pPr>
        <w:pStyle w:val="ListParagraph"/>
        <w:spacing w:lineRule="auto" w:line="240" w:before="0" w:after="0"/>
        <w:ind w:firstLine="567" w:left="0"/>
        <w:contextualSpacing/>
        <w:jc w:val="both"/>
        <w:rPr>
          <w:rFonts w:eastAsia="Calibri"/>
          <w:i/>
          <w:i/>
          <w:iCs/>
        </w:rPr>
      </w:pPr>
      <w:r>
        <w:rPr>
          <w:rFonts w:cs="Times New Roman" w:ascii="Times New Roman" w:hAnsi="Times New Roman"/>
          <w:sz w:val="24"/>
          <w:szCs w:val="24"/>
        </w:rPr>
        <w:t xml:space="preserve">7.1. </w:t>
      </w:r>
      <w:r>
        <w:rPr>
          <w:rFonts w:eastAsia="Calibri" w:cs="Times New Roman" w:ascii="Times New Roman"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numPr>
          <w:ilvl w:val="0"/>
          <w:numId w:val="17"/>
        </w:numPr>
        <w:tabs>
          <w:tab w:val="clear" w:pos="1296"/>
          <w:tab w:val="left" w:pos="709" w:leader="none"/>
        </w:tabs>
        <w:spacing w:lineRule="atLeast" w:line="20" w:before="360" w:after="120"/>
        <w:contextualSpacing/>
        <w:rPr>
          <w:b/>
          <w:bCs/>
        </w:rPr>
      </w:pPr>
      <w:bookmarkStart w:id="28" w:name="_Ref39658218"/>
      <w:bookmarkStart w:id="29" w:name="_Ref39658226"/>
      <w:bookmarkStart w:id="30" w:name="_Ref39658248"/>
      <w:bookmarkStart w:id="31" w:name="_Ref39658251"/>
      <w:bookmarkStart w:id="32" w:name="_Toc213187618"/>
      <w:r>
        <w:rPr>
          <w:rFonts w:cs="Times New Roman" w:ascii="Times New Roman" w:hAnsi="Times New Roman"/>
          <w:b/>
          <w:bCs/>
          <w:color w:val="auto"/>
          <w:sz w:val="24"/>
          <w:szCs w:val="24"/>
        </w:rPr>
        <w:t>Elektroninis aukcionas</w:t>
      </w:r>
      <w:bookmarkEnd w:id="28"/>
      <w:bookmarkEnd w:id="29"/>
      <w:bookmarkEnd w:id="30"/>
      <w:bookmarkEnd w:id="31"/>
      <w:bookmarkEnd w:id="32"/>
    </w:p>
    <w:p>
      <w:pPr>
        <w:pStyle w:val="Normal"/>
        <w:spacing w:lineRule="auto" w:line="240" w:before="0" w:after="0"/>
        <w:ind w:hanging="143" w:left="710"/>
        <w:rPr>
          <w:rFonts w:ascii="Times New Roman" w:hAnsi="Times New Roman" w:cs="Times New Roman"/>
          <w:sz w:val="24"/>
          <w:szCs w:val="24"/>
        </w:rPr>
      </w:pPr>
      <w:r>
        <w:rPr>
          <w:rFonts w:cs="Times New Roman" w:ascii="Times New Roman" w:hAnsi="Times New Roman"/>
          <w:sz w:val="24"/>
          <w:szCs w:val="24"/>
        </w:rPr>
        <w:t>8.1. Perkančioji organizacija pirkime netaikys elektroninio aukciono.</w:t>
      </w:r>
    </w:p>
    <w:p>
      <w:pPr>
        <w:pStyle w:val="Heading1"/>
        <w:numPr>
          <w:ilvl w:val="0"/>
          <w:numId w:val="17"/>
        </w:numPr>
        <w:tabs>
          <w:tab w:val="clear" w:pos="1296"/>
          <w:tab w:val="left" w:pos="709" w:leader="none"/>
        </w:tabs>
        <w:spacing w:lineRule="atLeast" w:line="20" w:before="360" w:after="120"/>
        <w:contextualSpacing/>
        <w:rPr>
          <w:b/>
          <w:bCs/>
        </w:rPr>
      </w:pPr>
      <w:bookmarkStart w:id="33" w:name="_Ref39667303"/>
      <w:bookmarkStart w:id="34" w:name="_Ref39667308"/>
      <w:bookmarkStart w:id="35" w:name="_Toc213187619"/>
      <w:bookmarkStart w:id="36" w:name="_Ref39485250"/>
      <w:bookmarkStart w:id="37" w:name="_Ref39485258"/>
      <w:r>
        <w:rPr>
          <w:rFonts w:cs="Times New Roman" w:ascii="Times New Roman" w:hAnsi="Times New Roman"/>
          <w:b/>
          <w:bCs/>
          <w:color w:val="auto"/>
          <w:sz w:val="24"/>
          <w:szCs w:val="24"/>
        </w:rPr>
        <w:t>Pasiūlymų vertinimas</w:t>
      </w:r>
      <w:bookmarkEnd w:id="33"/>
      <w:bookmarkEnd w:id="34"/>
      <w:bookmarkEnd w:id="35"/>
      <w:bookmarkEnd w:id="36"/>
      <w:bookmarkEnd w:id="37"/>
    </w:p>
    <w:p>
      <w:pPr>
        <w:pStyle w:val="Normal"/>
        <w:spacing w:lineRule="auto" w:line="240" w:before="0" w:after="0"/>
        <w:ind w:firstLine="567"/>
        <w:jc w:val="both"/>
        <w:rPr>
          <w:rFonts w:ascii="Times New Roman" w:hAnsi="Times New Roman" w:eastAsia="Calibri" w:cs="Times New Roman" w:eastAsiaTheme="minorHAnsi"/>
          <w:bCs/>
          <w:iCs/>
          <w:sz w:val="24"/>
          <w:szCs w:val="24"/>
        </w:rPr>
      </w:pPr>
      <w:r>
        <w:rPr>
          <w:rFonts w:cs="Times New Roman" w:ascii="Times New Roman" w:hAnsi="Times New Roman"/>
          <w:sz w:val="24"/>
          <w:szCs w:val="24"/>
        </w:rPr>
        <w:t xml:space="preserve">9.1. </w:t>
      </w:r>
      <w:r>
        <w:rPr>
          <w:rFonts w:eastAsia="Calibri" w:cs="Times New Roman" w:ascii="Times New Roman" w:hAnsi="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Pr>
          <w:rFonts w:cs="Times New Roman" w:ascii="Times New Roman" w:hAnsi="Times New Roman"/>
          <w:sz w:val="24"/>
          <w:szCs w:val="24"/>
          <w:shd w:fill="FFFFFF" w:val="clear"/>
        </w:rPr>
        <w:t>7</w:t>
      </w:r>
      <w:r>
        <w:rPr>
          <w:rFonts w:eastAsia="Calibri" w:cs="Times New Roman" w:ascii="Times New Roman" w:hAnsi="Times New Roman"/>
          <w:sz w:val="24"/>
          <w:szCs w:val="24"/>
        </w:rPr>
        <w:t xml:space="preserve"> priede.</w:t>
      </w:r>
    </w:p>
    <w:p>
      <w:pPr>
        <w:pStyle w:val="NoSpacing"/>
        <w:spacing w:lineRule="atLeast" w:line="20" w:before="0" w:after="0"/>
        <w:ind w:firstLine="567"/>
        <w:contextualSpacing/>
        <w:jc w:val="both"/>
        <w:rPr>
          <w:rFonts w:ascii="Times New Roman" w:hAnsi="Times New Roman" w:cs="Times New Roman"/>
          <w:sz w:val="24"/>
          <w:szCs w:val="24"/>
        </w:rPr>
      </w:pPr>
      <w:r>
        <w:rPr>
          <w:rFonts w:cs="Times New Roman" w:ascii="Times New Roman" w:hAnsi="Times New Roman"/>
          <w:sz w:val="24"/>
          <w:szCs w:val="24"/>
        </w:rPr>
        <w:t xml:space="preserve">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Pr>
          <w:rFonts w:cs="Times New Roman" w:ascii="Times New Roman" w:hAnsi="Times New Roman"/>
          <w:sz w:val="24"/>
          <w:szCs w:val="24"/>
          <w:shd w:fill="FFFFFF" w:val="clear"/>
        </w:rPr>
        <w:t xml:space="preserve">7 </w:t>
      </w:r>
      <w:r>
        <w:rPr>
          <w:rFonts w:cs="Times New Roman" w:ascii="Times New Roman" w:hAnsi="Times New Roman"/>
          <w:sz w:val="24"/>
          <w:szCs w:val="24"/>
        </w:rPr>
        <w:t xml:space="preserve">priede nustatytomis taisyklėmis. </w:t>
      </w:r>
    </w:p>
    <w:p>
      <w:pPr>
        <w:pStyle w:val="NoSpacing"/>
        <w:numPr>
          <w:ilvl w:val="1"/>
          <w:numId w:val="7"/>
        </w:numPr>
        <w:tabs>
          <w:tab w:val="clear" w:pos="1296"/>
          <w:tab w:val="left" w:pos="993" w:leader="none"/>
        </w:tabs>
        <w:spacing w:lineRule="atLeast" w:line="20" w:before="0" w:after="0"/>
        <w:ind w:firstLine="567" w:left="0"/>
        <w:contextualSpacing/>
        <w:jc w:val="both"/>
        <w:rPr>
          <w:rFonts w:ascii="Times New Roman" w:hAnsi="Times New Roman" w:eastAsia="Calibri" w:cs="Times New Roman" w:eastAsiaTheme="minorHAnsi"/>
          <w:bCs/>
          <w:sz w:val="24"/>
          <w:szCs w:val="24"/>
        </w:rPr>
      </w:pPr>
      <w:r>
        <w:rPr>
          <w:rStyle w:val="Cf01"/>
          <w:rFonts w:cs="Times New Roman" w:ascii="Times New Roman" w:hAnsi="Times New Roman"/>
          <w:b/>
          <w:bCs/>
          <w:sz w:val="24"/>
          <w:szCs w:val="24"/>
        </w:rPr>
        <w:t>Perkančioji organizacija atmes tiekėjo pasiūlymą, jeigu kartu su pasiūlymu nebus pateikti šie pirkimo sąlygose reikalaujami pateikti dokumentai:</w:t>
      </w:r>
      <w:r>
        <w:rPr>
          <w:rStyle w:val="Cf01"/>
          <w:rFonts w:cs="Times New Roman" w:ascii="Times New Roman" w:hAnsi="Times New Roman"/>
          <w:sz w:val="24"/>
          <w:szCs w:val="24"/>
        </w:rPr>
        <w:t xml:space="preserve"> </w:t>
      </w:r>
      <w:r>
        <w:rPr>
          <w:rFonts w:eastAsia="Calibri" w:cs="Times New Roman" w:ascii="Times New Roman" w:hAnsi="Times New Roman" w:eastAsiaTheme="minorHAnsi"/>
          <w:b/>
          <w:bCs/>
          <w:sz w:val="24"/>
          <w:szCs w:val="24"/>
        </w:rPr>
        <w:t>pirkimo sąlygų 6.1.1 punkte numatytas tiekėjo pasiūlymas (6 priedas)</w:t>
      </w:r>
      <w:bookmarkStart w:id="38" w:name="_Hlk213110955"/>
      <w:r>
        <w:rPr>
          <w:rFonts w:eastAsia="Calibri" w:cs="Times New Roman" w:ascii="Times New Roman" w:hAnsi="Times New Roman" w:eastAsiaTheme="minorHAnsi"/>
          <w:b/>
          <w:bCs/>
          <w:sz w:val="24"/>
          <w:szCs w:val="24"/>
        </w:rPr>
        <w:t>.</w:t>
      </w:r>
      <w:r>
        <w:rPr>
          <w:rFonts w:eastAsia="Calibri" w:cs="Times New Roman" w:ascii="Times New Roman" w:hAnsi="Times New Roman" w:eastAsiaTheme="minorHAnsi"/>
          <w:bCs/>
          <w:sz w:val="24"/>
          <w:szCs w:val="24"/>
        </w:rPr>
        <w:t xml:space="preserve">  </w:t>
      </w:r>
    </w:p>
    <w:p>
      <w:pPr>
        <w:pStyle w:val="Heading1"/>
        <w:numPr>
          <w:ilvl w:val="0"/>
          <w:numId w:val="7"/>
        </w:numPr>
        <w:tabs>
          <w:tab w:val="clear" w:pos="1296"/>
          <w:tab w:val="left" w:pos="567" w:leader="none"/>
        </w:tabs>
        <w:spacing w:lineRule="atLeast" w:line="20" w:before="360" w:after="120"/>
        <w:contextualSpacing/>
        <w:rPr>
          <w:b/>
          <w:bCs/>
        </w:rPr>
      </w:pPr>
      <w:bookmarkStart w:id="39" w:name="_Ref39425999"/>
      <w:bookmarkStart w:id="40" w:name="_Ref39426005"/>
      <w:bookmarkStart w:id="41" w:name="_Toc213187620"/>
      <w:bookmarkEnd w:id="38"/>
      <w:r>
        <w:rPr>
          <w:rFonts w:cs="Times New Roman" w:ascii="Times New Roman" w:hAnsi="Times New Roman"/>
          <w:b/>
          <w:bCs/>
          <w:color w:val="auto"/>
          <w:sz w:val="24"/>
          <w:szCs w:val="24"/>
        </w:rPr>
        <w:t>Prekių pavyzdžių pateikimas</w:t>
      </w:r>
      <w:bookmarkEnd w:id="39"/>
      <w:bookmarkEnd w:id="40"/>
      <w:bookmarkEnd w:id="41"/>
    </w:p>
    <w:p>
      <w:pPr>
        <w:pStyle w:val="ListParagraph"/>
        <w:numPr>
          <w:ilvl w:val="1"/>
          <w:numId w:val="5"/>
        </w:numPr>
        <w:tabs>
          <w:tab w:val="clear" w:pos="1296"/>
          <w:tab w:val="left" w:pos="1134" w:leader="none"/>
        </w:tabs>
        <w:spacing w:lineRule="auto" w:line="240" w:before="0" w:after="0"/>
        <w:ind w:firstLine="567" w:left="0"/>
        <w:contextualSpacing/>
        <w:jc w:val="both"/>
        <w:rPr>
          <w:rFonts w:ascii="Times New Roman" w:hAnsi="Times New Roman" w:cs="Times New Roman"/>
          <w:sz w:val="24"/>
          <w:szCs w:val="24"/>
        </w:rPr>
      </w:pPr>
      <w:r>
        <w:rPr>
          <w:rFonts w:eastAsia="Calibri" w:cs="Times New Roman" w:ascii="Times New Roman" w:hAnsi="Times New Roman"/>
          <w:sz w:val="24"/>
          <w:szCs w:val="24"/>
        </w:rPr>
        <w:t xml:space="preserve">Perkančioji organizacija nereikalauja prekių pavyzdžių. </w:t>
      </w:r>
    </w:p>
    <w:p>
      <w:pPr>
        <w:pStyle w:val="ListParagraph"/>
        <w:numPr>
          <w:ilvl w:val="0"/>
          <w:numId w:val="0"/>
        </w:numPr>
        <w:tabs>
          <w:tab w:val="clear" w:pos="1296"/>
          <w:tab w:val="left" w:pos="113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5"/>
        </w:numPr>
        <w:tabs>
          <w:tab w:val="clear" w:pos="1296"/>
          <w:tab w:val="left" w:pos="567" w:leader="none"/>
        </w:tabs>
        <w:spacing w:lineRule="atLeast" w:line="20" w:before="360" w:after="120"/>
        <w:contextualSpacing/>
        <w:jc w:val="both"/>
        <w:rPr>
          <w:b/>
          <w:bCs/>
        </w:rPr>
      </w:pPr>
      <w:bookmarkStart w:id="42" w:name="_Toc213187621"/>
      <w:r>
        <w:rPr>
          <w:rFonts w:cs="Times New Roman" w:ascii="Times New Roman" w:hAnsi="Times New Roman"/>
          <w:b/>
          <w:bCs/>
          <w:color w:val="auto"/>
          <w:sz w:val="24"/>
          <w:szCs w:val="24"/>
        </w:rPr>
        <w:t>Sutarties sudarymas</w:t>
      </w:r>
      <w:bookmarkEnd w:id="42"/>
    </w:p>
    <w:p>
      <w:pPr>
        <w:pStyle w:val="Normal"/>
        <w:shd w:val="clear" w:color="auto" w:fill="FFFFFF"/>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11.1.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10 Pirkimo sąlygų priede „Sutarties projektas“.</w:t>
      </w:r>
    </w:p>
    <w:p>
      <w:pPr>
        <w:sectPr>
          <w:headerReference w:type="default" r:id="rId4"/>
          <w:footerReference w:type="default" r:id="rId5"/>
          <w:footerReference w:type="first" r:id="rId6"/>
          <w:type w:val="nextPage"/>
          <w:pgSz w:w="12240" w:h="15840"/>
          <w:pgMar w:left="1701" w:right="567" w:gutter="0" w:header="720" w:top="1134" w:footer="720" w:bottom="1134"/>
          <w:pgNumType w:start="0" w:fmt="decimal"/>
          <w:formProt w:val="false"/>
          <w:titlePg/>
          <w:textDirection w:val="lrTb"/>
          <w:docGrid w:type="default" w:linePitch="360" w:charSpace="11468"/>
        </w:sectPr>
        <w:pStyle w:val="Normal"/>
        <w:shd w:val="clear" w:color="auto" w:fill="FFFFFF"/>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__________</w:t>
      </w:r>
    </w:p>
    <w:p>
      <w:pPr>
        <w:pStyle w:val="Heading1"/>
        <w:jc w:val="right"/>
        <w:rPr>
          <w:rFonts w:ascii="Times New Roman" w:hAnsi="Times New Roman" w:cs="Times New Roman"/>
          <w:color w:val="auto"/>
          <w:sz w:val="24"/>
          <w:szCs w:val="24"/>
        </w:rPr>
      </w:pPr>
      <w:bookmarkStart w:id="43" w:name="_Toc213187622"/>
      <w:r>
        <w:rPr>
          <w:rFonts w:cs="Times New Roman" w:ascii="Times New Roman" w:hAnsi="Times New Roman"/>
          <w:color w:val="auto"/>
          <w:sz w:val="24"/>
          <w:szCs w:val="24"/>
        </w:rPr>
        <w:t>Pirkimo sąlygų 1 priedas „Terminai“</w:t>
      </w:r>
      <w:bookmarkEnd w:id="43"/>
    </w:p>
    <w:p>
      <w:pPr>
        <w:pStyle w:val="Normal"/>
        <w:shd w:val="clear" w:color="auto" w:fill="FFFFFF"/>
        <w:spacing w:lineRule="auto" w:line="240" w:before="0" w:after="0"/>
        <w:jc w:val="right"/>
        <w:rPr>
          <w:rFonts w:ascii="Times New Roman" w:hAnsi="Times New Roman" w:eastAsia="Calibri" w:cs="Times New Roman"/>
          <w:sz w:val="24"/>
          <w:szCs w:val="24"/>
        </w:rPr>
      </w:pPr>
      <w:r>
        <w:rPr>
          <w:rFonts w:eastAsia="Calibri" w:cs="Times New Roman" w:ascii="Times New Roman" w:hAnsi="Times New Roman"/>
          <w:sz w:val="24"/>
          <w:szCs w:val="24"/>
        </w:rPr>
      </w:r>
    </w:p>
    <w:tbl>
      <w:tblPr>
        <w:tblW w:w="9668"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902"/>
        <w:gridCol w:w="3521"/>
        <w:gridCol w:w="5245"/>
      </w:tblGrid>
      <w:tr>
        <w:trPr>
          <w:trHeight w:val="20" w:hRule="atLeast"/>
        </w:trPr>
        <w:tc>
          <w:tcPr>
            <w:tcW w:w="90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Times New Roman" w:hAnsi="Times New Roman" w:cs="Times New Roman"/>
                <w:b/>
                <w:bCs/>
                <w:sz w:val="24"/>
                <w:szCs w:val="24"/>
              </w:rPr>
            </w:pPr>
            <w:r>
              <w:rPr>
                <w:rFonts w:cs="Times New Roman" w:ascii="Times New Roman" w:hAnsi="Times New Roman"/>
                <w:b/>
                <w:bCs/>
                <w:sz w:val="24"/>
                <w:szCs w:val="24"/>
              </w:rPr>
              <w:t>Eil.Nr.</w:t>
            </w:r>
          </w:p>
        </w:tc>
        <w:tc>
          <w:tcPr>
            <w:tcW w:w="352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Times New Roman" w:hAnsi="Times New Roman" w:cs="Times New Roman"/>
                <w:b/>
                <w:bCs/>
                <w:sz w:val="24"/>
                <w:szCs w:val="24"/>
              </w:rPr>
            </w:pPr>
            <w:r>
              <w:rPr>
                <w:rFonts w:cs="Times New Roman" w:ascii="Times New Roman" w:hAnsi="Times New Roman"/>
                <w:b/>
                <w:bCs/>
                <w:sz w:val="24"/>
                <w:szCs w:val="24"/>
              </w:rPr>
              <w:t>VEIKSMAS</w:t>
            </w:r>
          </w:p>
        </w:tc>
        <w:tc>
          <w:tcPr>
            <w:tcW w:w="5245"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b/>
                <w:sz w:val="24"/>
                <w:szCs w:val="24"/>
              </w:rPr>
            </w:pPr>
            <w:r>
              <w:rPr>
                <w:rFonts w:cs="Times New Roman" w:ascii="Times New Roman" w:hAnsi="Times New Roman"/>
                <w:b/>
                <w:sz w:val="24"/>
                <w:szCs w:val="24"/>
              </w:rPr>
              <w:t>DATA/DIENŲ SKAIČIUS/ LAIKAS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(Lietuvos laiku)</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1.</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bCs/>
                <w:sz w:val="24"/>
                <w:szCs w:val="24"/>
              </w:rPr>
              <w:t>Pasiūlymų pateikimo terminas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Nurodytas skelbime</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bCs/>
                <w:i/>
                <w:iCs/>
                <w:sz w:val="24"/>
                <w:szCs w:val="24"/>
              </w:rPr>
              <w:t>PASTABA:</w:t>
            </w:r>
            <w:r>
              <w:rPr>
                <w:rFonts w:cs="Times New Roman" w:ascii="Times New Roman" w:hAnsi="Times New Roman"/>
                <w:i/>
                <w:iCs/>
                <w:sz w:val="24"/>
                <w:szCs w:val="24"/>
              </w:rPr>
              <w:t xml:space="preserve"> Perkančioji organizacija turi teisę pratęsti pasiūlymų pateikimo terminą.</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2.</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eastAsia="Times New Roman" w:cs="Times New Roman" w:ascii="Times New Roman" w:hAnsi="Times New Roman"/>
                <w:sz w:val="24"/>
                <w:szCs w:val="24"/>
              </w:rPr>
              <w:t>Pradinis susipažinimas su CVP IS priemonėmis gautais pasiūlymais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Pradedamas ne anksčiau nei po 30 minučių po pasiūlymų pateikimo termino pabaigos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3.</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sz w:val="24"/>
                <w:szCs w:val="24"/>
              </w:rPr>
              <w:t>Prašymą paaiškinti, patikslinti pirkimo sąlygas tiekėjas turi pateikti ne vėliau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w:t>
            </w:r>
            <w:r>
              <w:rPr>
                <w:rFonts w:cs="Times New Roman" w:ascii="Times New Roman" w:hAnsi="Times New Roman"/>
                <w:sz w:val="24"/>
                <w:szCs w:val="24"/>
              </w:rPr>
              <w:t xml:space="preserve"> (</w:t>
            </w:r>
            <w:r>
              <w:rPr>
                <w:rFonts w:cs="Times New Roman" w:ascii="Times New Roman" w:hAnsi="Times New Roman"/>
                <w:sz w:val="24"/>
                <w:szCs w:val="24"/>
              </w:rPr>
              <w:t>šešioms</w:t>
            </w:r>
            <w:r>
              <w:rPr>
                <w:rFonts w:cs="Times New Roman" w:ascii="Times New Roman" w:hAnsi="Times New Roman"/>
                <w:sz w:val="24"/>
                <w:szCs w:val="24"/>
              </w:rPr>
              <w:t>) dien</w:t>
            </w:r>
            <w:r>
              <w:rPr>
                <w:rFonts w:cs="Times New Roman" w:ascii="Times New Roman" w:hAnsi="Times New Roman"/>
                <w:sz w:val="24"/>
                <w:szCs w:val="24"/>
              </w:rPr>
              <w:t>oms</w:t>
            </w:r>
            <w:r>
              <w:rPr>
                <w:rFonts w:cs="Times New Roman" w:ascii="Times New Roman" w:hAnsi="Times New Roman"/>
                <w:sz w:val="24"/>
                <w:szCs w:val="24"/>
              </w:rPr>
              <w:t xml:space="preserve"> iki pasiūlymų pateikimo termino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sąlygų paaiškinimą, patikslinimą pateikia visiems tiekėjams ne vėliau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4</w:t>
            </w:r>
            <w:r>
              <w:rPr>
                <w:rFonts w:cs="Times New Roman" w:ascii="Times New Roman" w:hAnsi="Times New Roman"/>
                <w:sz w:val="24"/>
                <w:szCs w:val="24"/>
              </w:rPr>
              <w:t xml:space="preserve"> (</w:t>
            </w:r>
            <w:r>
              <w:rPr>
                <w:rFonts w:cs="Times New Roman" w:ascii="Times New Roman" w:hAnsi="Times New Roman"/>
                <w:sz w:val="24"/>
                <w:szCs w:val="24"/>
              </w:rPr>
              <w:t>keturioms</w:t>
            </w:r>
            <w:r>
              <w:rPr>
                <w:rFonts w:cs="Times New Roman" w:ascii="Times New Roman" w:hAnsi="Times New Roman"/>
                <w:sz w:val="24"/>
                <w:szCs w:val="24"/>
              </w:rPr>
              <w:t>) dieno</w:t>
            </w:r>
            <w:r>
              <w:rPr>
                <w:rFonts w:cs="Times New Roman" w:ascii="Times New Roman" w:hAnsi="Times New Roman"/>
                <w:sz w:val="24"/>
                <w:szCs w:val="24"/>
              </w:rPr>
              <w:t>ms</w:t>
            </w:r>
            <w:r>
              <w:rPr>
                <w:rFonts w:cs="Times New Roman" w:ascii="Times New Roman" w:hAnsi="Times New Roman"/>
                <w:sz w:val="24"/>
                <w:szCs w:val="24"/>
              </w:rPr>
              <w:t xml:space="preserve"> iki pasiūlymų pateikimo termino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Objekto apžiūra bus vykdoma:</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NETAIKOMA</w:t>
            </w:r>
          </w:p>
        </w:tc>
      </w:tr>
      <w:tr>
        <w:trPr>
          <w:trHeight w:val="887"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rengs susitikimus su tiekėjais dėl pirkimo sąlygų paaiškinimo</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NETAIKOMA</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i w:val="false"/>
                <w:i w:val="false"/>
                <w:iCs w:val="false"/>
                <w:highlight w:val="none"/>
                <w:shd w:fill="FFFFFF" w:val="clear"/>
              </w:rPr>
            </w:pPr>
            <w:r>
              <w:rPr>
                <w:rFonts w:cs="Times New Roman" w:ascii="Times New Roman" w:hAnsi="Times New Roman"/>
                <w:i w:val="false"/>
                <w:iCs w:val="false"/>
                <w:sz w:val="24"/>
                <w:szCs w:val="24"/>
                <w:shd w:fill="FFFFFF" w:val="clear"/>
              </w:rPr>
              <w:t>Tiekėjai turi pateikti prekių pavyzdžius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i w:val="false"/>
                <w:i w:val="false"/>
                <w:iCs w:val="false"/>
                <w:highlight w:val="none"/>
                <w:shd w:fill="FFFFFF" w:val="clear"/>
              </w:rPr>
            </w:pPr>
            <w:r>
              <w:rPr>
                <w:rFonts w:cs="Times New Roman" w:ascii="Times New Roman" w:hAnsi="Times New Roman"/>
                <w:i w:val="false"/>
                <w:iCs w:val="false"/>
                <w:sz w:val="24"/>
                <w:szCs w:val="24"/>
                <w:shd w:fill="FFFFFF" w:val="clear"/>
              </w:rPr>
              <w:t>NETAIKOMA</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Pasiūlymo galiojimo ir pasiūlymo galiojimo užtikrinimo (jei taikoma) terminas ne trumpesnis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90 (devyniasdešimt) dienų nuo pasiūlymų pateikimo galutinio termino pabaigos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Perkančioji organizacija atsako tiekėjui, ar ji sutinka priimti tiekėjo siūlomą pasiūlymo galiojimo užtikrinimą patvirtinantį dokumentą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eastAsiaTheme="minorEastAsia"/>
                <w:iCs/>
                <w:sz w:val="24"/>
                <w:szCs w:val="24"/>
                <w:highlight w:val="none"/>
                <w:shd w:fill="FFFFFF" w:val="clear"/>
              </w:rPr>
            </w:pPr>
            <w:r>
              <w:rPr>
                <w:rFonts w:cs="Times New Roman" w:eastAsiaTheme="minorEastAsia" w:ascii="Times New Roman" w:hAnsi="Times New Roman"/>
                <w:iCs/>
                <w:sz w:val="24"/>
                <w:szCs w:val="24"/>
                <w:shd w:fill="FFFFFF" w:val="clear"/>
              </w:rPr>
              <w:t>NETAIKOMA</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Pasiūlymo galiojimo užtikrinimas pirkimo dalyviui grąžinamas (arba atsisakoma teisių į jį)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eastAsiaTheme="minorEastAsia"/>
                <w:iCs/>
                <w:sz w:val="24"/>
                <w:szCs w:val="24"/>
                <w:highlight w:val="none"/>
                <w:shd w:fill="FFFFFF" w:val="clear"/>
              </w:rPr>
            </w:pPr>
            <w:r>
              <w:rPr>
                <w:rFonts w:cs="Times New Roman" w:eastAsiaTheme="minorEastAsia" w:ascii="Times New Roman" w:hAnsi="Times New Roman"/>
                <w:iCs/>
                <w:sz w:val="24"/>
                <w:szCs w:val="24"/>
                <w:shd w:fill="FFFFFF" w:val="clear"/>
              </w:rPr>
              <w:t>NETAIKOMA</w:t>
            </w:r>
          </w:p>
          <w:p>
            <w:pPr>
              <w:pStyle w:val="Normal"/>
              <w:spacing w:lineRule="auto" w:line="240" w:before="0" w:after="0"/>
              <w:jc w:val="both"/>
              <w:rPr>
                <w:rFonts w:ascii="Times New Roman" w:hAnsi="Times New Roman" w:cs="Times New Roman" w:eastAsiaTheme="minorEastAsia"/>
                <w:sz w:val="24"/>
                <w:szCs w:val="24"/>
                <w:highlight w:val="none"/>
                <w:shd w:fill="FFFFFF" w:val="clear"/>
              </w:rPr>
            </w:pPr>
            <w:r>
              <w:rPr>
                <w:rFonts w:cs="Times New Roman" w:eastAsiaTheme="minorEastAsia" w:ascii="Times New Roman" w:hAnsi="Times New Roman"/>
                <w:sz w:val="24"/>
                <w:szCs w:val="24"/>
                <w:shd w:fill="FFFFFF" w:val="clear"/>
              </w:rPr>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Perkančioji organizacija informuoja pirkimo dalyvius apie EBVPD vertinimo rezultatus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3 (tris) darbo dienas nuo sprendimo priėmimo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 xml:space="preserve">Perkančioji organizacija pirkimo dalyviams praneša apie priimtą sprendimą nustatyti laimėjusį pasiūlymą, </w:t>
            </w:r>
            <w:r>
              <w:rPr>
                <w:rFonts w:cs="Times New Roman" w:ascii="Times New Roman" w:hAnsi="Times New Roman"/>
                <w:sz w:val="24"/>
                <w:szCs w:val="24"/>
              </w:rPr>
              <w:t>dėl kurio bus sudaroma</w:t>
            </w:r>
            <w:r>
              <w:rPr>
                <w:rFonts w:cs="Times New Roman" w:ascii="Times New Roman" w:hAnsi="Times New Roman"/>
                <w:bCs/>
                <w:sz w:val="24"/>
                <w:szCs w:val="24"/>
              </w:rPr>
              <w:t xml:space="preserve"> sutartis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3 (tris) darbo dienas nuo sprendimo priėmimo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Perkančioji organizacija, pirkimo dalyviui raštu paprašius, jam pateikia VPĮ 58 straipsnio 2 dalyje nustatytą informaciją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15 (penkiolika) dienų nuo pirkimo dalyvio raštu pateikto prašymo gavimo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shd w:fill="FFFFFF" w:val="clear"/>
              </w:rPr>
              <w:t xml:space="preserve">Tiekėjas turi teisę pateikti pretenziją perkančiajai organizacijai, pateikti prašymą ar pareikšti ieškinį teismui </w:t>
            </w:r>
            <w:r>
              <w:rPr>
                <w:rFonts w:cs="Times New Roman" w:ascii="Times New Roman" w:hAnsi="Times New Roman"/>
                <w:bCs/>
                <w:sz w:val="24"/>
                <w:szCs w:val="24"/>
              </w:rPr>
              <w:t>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5</w:t>
            </w:r>
            <w:r>
              <w:rPr>
                <w:rFonts w:cs="Times New Roman" w:ascii="Times New Roman" w:hAnsi="Times New Roman"/>
                <w:sz w:val="24"/>
                <w:szCs w:val="24"/>
              </w:rPr>
              <w:t xml:space="preserve"> (</w:t>
            </w:r>
            <w:r>
              <w:rPr>
                <w:rFonts w:cs="Times New Roman" w:ascii="Times New Roman" w:hAnsi="Times New Roman"/>
                <w:sz w:val="24"/>
                <w:szCs w:val="24"/>
              </w:rPr>
              <w:t>penkias</w:t>
            </w:r>
            <w:r>
              <w:rPr>
                <w:rFonts w:cs="Times New Roman" w:ascii="Times New Roman" w:hAnsi="Times New Roman"/>
                <w:sz w:val="24"/>
                <w:szCs w:val="24"/>
              </w:rPr>
              <w:t xml:space="preserve">) </w:t>
            </w:r>
            <w:r>
              <w:rPr>
                <w:rFonts w:cs="Times New Roman" w:ascii="Times New Roman" w:hAnsi="Times New Roman"/>
                <w:sz w:val="24"/>
                <w:szCs w:val="24"/>
              </w:rPr>
              <w:t>darbo</w:t>
            </w:r>
            <w:r>
              <w:rPr>
                <w:rFonts w:cs="Times New Roman" w:ascii="Times New Roman" w:hAnsi="Times New Roman"/>
                <w:sz w:val="24"/>
                <w:szCs w:val="24"/>
              </w:rPr>
              <w:t xml:space="preserve"> dien</w:t>
            </w:r>
            <w:r>
              <w:rPr>
                <w:rFonts w:cs="Times New Roman" w:ascii="Times New Roman" w:hAnsi="Times New Roman"/>
                <w:sz w:val="24"/>
                <w:szCs w:val="24"/>
              </w:rPr>
              <w:t>as</w:t>
            </w:r>
            <w:r>
              <w:rPr>
                <w:rFonts w:cs="Times New Roman" w:ascii="Times New Roman" w:hAnsi="Times New Roman"/>
                <w:sz w:val="24"/>
                <w:szCs w:val="24"/>
              </w:rPr>
              <w:t xml:space="preserve"> nuo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pranešimo raštu apie jos priimtą sprendimą išsiuntimo tiekėjams dienos arba nuo paskelbimo apie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priimtus sprendimus dienos, jei VPĮ nenumato reikalavimo raštu informuoti tiekėjus apie </w:t>
            </w:r>
            <w:r>
              <w:rPr>
                <w:rFonts w:eastAsia="Arial" w:cs="Times New Roman" w:ascii="Times New Roman" w:hAnsi="Times New Roman"/>
                <w:sz w:val="24"/>
                <w:szCs w:val="24"/>
              </w:rPr>
              <w:t xml:space="preserve"> perkančiosios organizacijos</w:t>
            </w:r>
            <w:r>
              <w:rPr>
                <w:rFonts w:cs="Times New Roman" w:ascii="Times New Roman" w:hAnsi="Times New Roman"/>
                <w:sz w:val="24"/>
                <w:szCs w:val="24"/>
              </w:rPr>
              <w:t xml:space="preserve"> priimtus sprendimus;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15 (penkiolika) dienų nuo pranešimo išsiuntimo tiekėjams dienos, jeigu šis pranešimas nebuvo siunčiamas elektroninėmis priemonėmis.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 (šešias) darbo dienas nuo pretenzijos gavimo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Jeigu perkančioji organizacija per nustatytą terminą neišnagrinėja jai pateiktos pretenzijos, tiekėjas turi teisę pateikti prašymą ar pareikšti ieškinį teismui per</w:t>
            </w:r>
            <w:r>
              <w:rPr>
                <w:rFonts w:cs="Times New Roman" w:ascii="Times New Roman" w:hAnsi="Times New Roman"/>
                <w:bCs/>
                <w:sz w:val="24"/>
                <w:szCs w:val="24"/>
              </w:rPr>
              <w:t xml:space="preserve"> (išskyrus ieškinį dėl sutarties pripažinimo negaliojančia)</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per 15 (penkiolika) dienų nuo dienos, kurią perkančioji organizacija turėjo raštu pranešti apie priimtą sprendimą pretenziją pateikusiam tiekėjui,   suinteresuotiems pirkimo dalyviams.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negali sudaryti sutarties anksčiau kaip po</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Cs/>
                <w:sz w:val="24"/>
                <w:szCs w:val="24"/>
              </w:rPr>
              <w:t>5</w:t>
            </w:r>
            <w:r>
              <w:rPr>
                <w:rFonts w:cs="Times New Roman" w:ascii="Times New Roman" w:hAnsi="Times New Roman"/>
                <w:bCs/>
                <w:sz w:val="24"/>
                <w:szCs w:val="24"/>
              </w:rPr>
              <w:t xml:space="preserve"> (</w:t>
            </w:r>
            <w:r>
              <w:rPr>
                <w:rFonts w:cs="Times New Roman" w:ascii="Times New Roman" w:hAnsi="Times New Roman"/>
                <w:bCs/>
                <w:sz w:val="24"/>
                <w:szCs w:val="24"/>
              </w:rPr>
              <w:t>penkias</w:t>
            </w:r>
            <w:r>
              <w:rPr>
                <w:rFonts w:cs="Times New Roman" w:ascii="Times New Roman" w:hAnsi="Times New Roman"/>
                <w:bCs/>
                <w:sz w:val="24"/>
                <w:szCs w:val="24"/>
              </w:rPr>
              <w:t xml:space="preserve">) </w:t>
            </w:r>
            <w:r>
              <w:rPr>
                <w:rFonts w:cs="Times New Roman" w:ascii="Times New Roman" w:hAnsi="Times New Roman"/>
                <w:bCs/>
                <w:sz w:val="24"/>
                <w:szCs w:val="24"/>
              </w:rPr>
              <w:t>darbo</w:t>
            </w:r>
            <w:r>
              <w:rPr>
                <w:rFonts w:cs="Times New Roman" w:ascii="Times New Roman" w:hAnsi="Times New Roman"/>
                <w:bCs/>
                <w:sz w:val="24"/>
                <w:szCs w:val="24"/>
              </w:rPr>
              <w:t xml:space="preserve"> dien</w:t>
            </w:r>
            <w:r>
              <w:rPr>
                <w:rFonts w:cs="Times New Roman" w:ascii="Times New Roman" w:hAnsi="Times New Roman"/>
                <w:bCs/>
                <w:sz w:val="24"/>
                <w:szCs w:val="24"/>
              </w:rPr>
              <w:t>as</w:t>
            </w:r>
            <w:r>
              <w:rPr>
                <w:rFonts w:cs="Times New Roman" w:ascii="Times New Roman" w:hAnsi="Times New Roman"/>
                <w:bCs/>
                <w:sz w:val="24"/>
                <w:szCs w:val="24"/>
              </w:rPr>
              <w:t>,</w:t>
            </w:r>
            <w:r>
              <w:rPr>
                <w:rFonts w:cs="Times New Roman" w:ascii="Times New Roman" w:hAnsi="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Jeigu </w:t>
            </w:r>
            <w:r>
              <w:rPr>
                <w:rFonts w:cs="Times New Roman" w:ascii="Times New Roman" w:hAnsi="Times New Roman"/>
                <w:iCs/>
                <w:sz w:val="24"/>
                <w:szCs w:val="24"/>
              </w:rPr>
              <w:t>suinteresuotas dalyvis paprašys perkančiosios organizacijos pateikti laimėjusį pasiūlymą</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r>
    </w:tbl>
    <w:p>
      <w:pPr>
        <w:pStyle w:val="Normal"/>
        <w:tabs>
          <w:tab w:val="clear" w:pos="1296"/>
          <w:tab w:val="left" w:pos="2977" w:leader="none"/>
        </w:tabs>
        <w:spacing w:lineRule="atLeast" w:line="20" w:before="0" w:after="12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rPr>
          <w:rFonts w:ascii="Times New Roman" w:hAnsi="Times New Roman" w:eastAsia="Calibri" w:cs="Times New Roman"/>
          <w:sz w:val="24"/>
          <w:szCs w:val="24"/>
        </w:rPr>
      </w:pPr>
      <w:r>
        <w:rPr>
          <w:rFonts w:eastAsia="Calibri"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44" w:name="_Ref38539939"/>
      <w:bookmarkStart w:id="45" w:name="_Ref38541068"/>
      <w:bookmarkStart w:id="46" w:name="_Ref38885053"/>
      <w:bookmarkStart w:id="47" w:name="_Ref38899023"/>
      <w:bookmarkStart w:id="48" w:name="_Toc213187623"/>
      <w:r>
        <w:rPr>
          <w:rFonts w:eastAsia="Calibri" w:cs="Times New Roman" w:ascii="Times New Roman" w:hAnsi="Times New Roman"/>
          <w:color w:val="auto"/>
          <w:sz w:val="24"/>
          <w:szCs w:val="24"/>
        </w:rPr>
        <w:t>Pirkimo sąlygų 2 priedas „Techninė specifikacija“</w:t>
      </w:r>
      <w:bookmarkEnd w:id="44"/>
      <w:bookmarkEnd w:id="45"/>
      <w:bookmarkEnd w:id="46"/>
      <w:bookmarkEnd w:id="47"/>
      <w:bookmarkEnd w:id="48"/>
    </w:p>
    <w:p>
      <w:pPr>
        <w:pStyle w:val="Normal"/>
        <w:jc w:val="center"/>
        <w:rPr>
          <w:rFonts w:ascii="Times New Roman" w:hAnsi="Times New Roman" w:cs="Times New Roman"/>
          <w:b/>
          <w:bCs/>
          <w:sz w:val="24"/>
          <w:szCs w:val="24"/>
        </w:rPr>
      </w:pPr>
      <w:r>
        <w:rPr>
          <w:rFonts w:cs="Times New Roman" w:ascii="Times New Roman" w:hAnsi="Times New Roman"/>
          <w:b/>
          <w:bCs/>
          <w:sz w:val="24"/>
          <w:szCs w:val="24"/>
        </w:rPr>
      </w:r>
    </w:p>
    <w:p>
      <w:pPr>
        <w:pStyle w:val="Subtitle"/>
        <w:jc w:val="center"/>
        <w:rPr>
          <w:rFonts w:ascii="Times New Roman" w:hAnsi="Times New Roman" w:cs="Times New Roman"/>
          <w:color w:val="auto"/>
          <w:sz w:val="24"/>
          <w:szCs w:val="24"/>
        </w:rPr>
      </w:pPr>
      <w:r>
        <w:rPr>
          <w:rFonts w:cs="Times New Roman" w:ascii="Times New Roman" w:hAnsi="Times New Roman"/>
          <w:color w:val="auto"/>
          <w:sz w:val="24"/>
          <w:szCs w:val="24"/>
        </w:rPr>
        <w:t>TECHNINĖ SPECIFIKACIJA</w:t>
      </w:r>
    </w:p>
    <w:p>
      <w:pPr>
        <w:pStyle w:val="ListParagraph"/>
        <w:widowControl w:val="false"/>
        <w:numPr>
          <w:ilvl w:val="0"/>
          <w:numId w:val="18"/>
        </w:numPr>
        <w:tabs>
          <w:tab w:val="clear" w:pos="1296"/>
          <w:tab w:val="left" w:pos="851" w:leader="none"/>
        </w:tabs>
        <w:spacing w:lineRule="auto" w:line="240" w:before="0" w:after="0"/>
        <w:ind w:firstLine="567"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pPr>
        <w:pStyle w:val="ListParagraph"/>
        <w:widowControl w:val="false"/>
        <w:numPr>
          <w:ilvl w:val="0"/>
          <w:numId w:val="18"/>
        </w:numPr>
        <w:tabs>
          <w:tab w:val="clear" w:pos="1296"/>
          <w:tab w:val="left" w:pos="709" w:leader="none"/>
          <w:tab w:val="left" w:pos="851" w:leader="none"/>
        </w:tabs>
        <w:spacing w:lineRule="auto" w:line="240" w:before="0" w:after="0"/>
        <w:ind w:firstLine="567"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Techninės specifikacijos reikalavimai atskiroms pirkimo objekto dalims pateikiami atskiru dokumentu:   2 priedas. Techninė specifikacija – I-</w:t>
      </w:r>
      <w:r>
        <w:rPr>
          <w:rFonts w:eastAsia="Times New Roman" w:cs="Times New Roman" w:ascii="Times New Roman" w:hAnsi="Times New Roman"/>
          <w:sz w:val="24"/>
          <w:szCs w:val="24"/>
          <w:lang w:val="en-GB"/>
        </w:rPr>
        <w:t>V</w:t>
      </w:r>
      <w:r>
        <w:rPr>
          <w:rFonts w:eastAsia="Times New Roman" w:cs="Times New Roman" w:ascii="Times New Roman" w:hAnsi="Times New Roman"/>
          <w:sz w:val="24"/>
          <w:szCs w:val="24"/>
        </w:rPr>
        <w:t xml:space="preserve"> pirkimo objekto dalis „</w:t>
      </w:r>
      <w:r>
        <w:rPr>
          <w:rFonts w:eastAsia="Times New Roman" w:cs="Times New Roman" w:ascii="Times New Roman" w:hAnsi="Times New Roman"/>
          <w:sz w:val="24"/>
          <w:szCs w:val="24"/>
        </w:rPr>
        <w:t>Paslaugos Sostinės regione</w:t>
      </w: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ir VI – X pirkimo objekto dalis „Paslaugos VVL regione“</w:t>
      </w:r>
      <w:r>
        <w:rPr>
          <w:rFonts w:eastAsia="Times New Roman" w:cs="Times New Roman" w:ascii="Times New Roman" w:hAnsi="Times New Roman"/>
          <w:sz w:val="24"/>
          <w:szCs w:val="24"/>
        </w:rPr>
        <w:t>.</w:t>
      </w:r>
    </w:p>
    <w:p>
      <w:pPr>
        <w:pStyle w:val="Normal"/>
        <w:widowControl w:val="false"/>
        <w:tabs>
          <w:tab w:val="clear" w:pos="1296"/>
          <w:tab w:val="left" w:pos="709" w:leader="none"/>
          <w:tab w:val="left" w:pos="1134" w:leader="none"/>
        </w:tabs>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49" w:name="_Ref38285444"/>
      <w:bookmarkStart w:id="50" w:name="_Ref38291496"/>
      <w:bookmarkStart w:id="51" w:name="_Toc213187624"/>
      <w:r>
        <w:rPr>
          <w:rFonts w:eastAsia="Calibri" w:cs="Times New Roman" w:ascii="Times New Roman" w:hAnsi="Times New Roman"/>
          <w:color w:val="auto"/>
          <w:sz w:val="24"/>
          <w:szCs w:val="24"/>
        </w:rPr>
        <w:t>Pirkimo sąlygų 3 priedas „Tiekėjų pašalinimo pagrindai“</w:t>
      </w:r>
      <w:bookmarkEnd w:id="49"/>
      <w:bookmarkEnd w:id="50"/>
      <w:bookmarkEnd w:id="51"/>
    </w:p>
    <w:p>
      <w:pPr>
        <w:pStyle w:val="Normal"/>
        <w:jc w:val="center"/>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Subtitle"/>
        <w:jc w:val="center"/>
        <w:rPr>
          <w:rFonts w:ascii="Times New Roman" w:hAnsi="Times New Roman" w:cs="Times New Roman"/>
          <w:color w:val="auto"/>
          <w:sz w:val="24"/>
          <w:szCs w:val="24"/>
        </w:rPr>
      </w:pPr>
      <w:r>
        <w:rPr>
          <w:rFonts w:cs="Times New Roman" w:ascii="Times New Roman" w:hAnsi="Times New Roman"/>
          <w:color w:val="auto"/>
          <w:sz w:val="24"/>
          <w:szCs w:val="24"/>
        </w:rPr>
        <w:t>TIEKĖJŲ PAŠALINIMO PAGRINDAI</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pPr>
        <w:pStyle w:val="NoSpacing"/>
        <w:numPr>
          <w:ilvl w:val="0"/>
          <w:numId w:val="15"/>
        </w:numPr>
        <w:tabs>
          <w:tab w:val="clear" w:pos="1296"/>
          <w:tab w:val="left" w:pos="851" w:leader="none"/>
        </w:tabs>
        <w:ind w:firstLine="567" w:left="0"/>
        <w:jc w:val="both"/>
        <w:rPr>
          <w:rFonts w:ascii="Times New Roman" w:hAnsi="Times New Roman" w:cs="Times New Roman"/>
          <w:b/>
          <w:bCs/>
          <w:sz w:val="24"/>
          <w:szCs w:val="24"/>
        </w:rPr>
      </w:pPr>
      <w:r>
        <w:rPr>
          <w:rFonts w:cs="Times New Roman" w:ascii="Times New Roman" w:hAnsi="Times New Roman"/>
          <w:b/>
          <w:bCs/>
          <w:sz w:val="24"/>
          <w:szCs w:val="24"/>
        </w:rPr>
        <w:t xml:space="preserve">Pašalinimo pagrindai taikomi tiekėjui (kai pasiūlymą teikia ūkio subjektų grupė – visiems tos grupės nariams), ūkio subjektams, kurių pajėgumais tiekėjas remiasi ir pasiūlymo teikimo metu žinomiems subtiekėjams. </w:t>
      </w:r>
    </w:p>
    <w:p>
      <w:pPr>
        <w:pStyle w:val="NoSpacing"/>
        <w:numPr>
          <w:ilvl w:val="0"/>
          <w:numId w:val="15"/>
        </w:numPr>
        <w:tabs>
          <w:tab w:val="clear" w:pos="1296"/>
          <w:tab w:val="left" w:pos="851" w:leader="none"/>
        </w:tabs>
        <w:ind w:firstLine="567" w:left="0"/>
        <w:jc w:val="both"/>
        <w:rPr>
          <w:rFonts w:ascii="Times New Roman" w:hAnsi="Times New Roman" w:eastAsia="Verdana" w:cs="Times New Roman"/>
          <w:sz w:val="24"/>
          <w:szCs w:val="24"/>
        </w:rPr>
      </w:pPr>
      <w:r>
        <w:rPr>
          <w:rFonts w:cs="Times New Roman" w:ascii="Times New Roman" w:hAnsi="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eastAsia="Verdana" w:cs="Times New Roman" w:ascii="Times New Roman" w:hAnsi="Times New Roman"/>
          <w:sz w:val="24"/>
          <w:szCs w:val="24"/>
        </w:rPr>
        <w:t xml:space="preserve">e nustatytų tiekėjo pašalinimo pagrindų, išskyrus VPĮ 46 straipsnio 10 dalyje nustatytus atvejus (tačiau atsižvelgiant į VPĮ 46 straipsnio 11 ir 12 dalių nuostatas). </w:t>
      </w:r>
    </w:p>
    <w:p>
      <w:pPr>
        <w:pStyle w:val="NoSpacing"/>
        <w:numPr>
          <w:ilvl w:val="0"/>
          <w:numId w:val="15"/>
        </w:numPr>
        <w:tabs>
          <w:tab w:val="clear" w:pos="1296"/>
          <w:tab w:val="left" w:pos="851" w:leader="none"/>
        </w:tabs>
        <w:ind w:firstLine="567" w:left="0"/>
        <w:jc w:val="both"/>
        <w:rPr>
          <w:rFonts w:ascii="Times New Roman" w:hAnsi="Times New Roman" w:eastAsia="Verdana" w:cs="Times New Roman"/>
          <w:sz w:val="24"/>
          <w:szCs w:val="24"/>
        </w:rPr>
      </w:pPr>
      <w:r>
        <w:rPr>
          <w:rFonts w:eastAsia="Verdana" w:cs="Times New Roman" w:ascii="Times New Roman" w:hAnsi="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eastAsia="Verdana" w:cs="Times New Roman" w:ascii="Times New Roman" w:hAnsi="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cs="Times New Roman" w:ascii="Times New Roman" w:hAnsi="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r>
          <w:rPr>
            <w:rStyle w:val="Hyperlink"/>
            <w:rFonts w:eastAsia="Calibri" w:cs="Times New Roman" w:ascii="Times New Roman" w:hAnsi="Times New Roman"/>
            <w:sz w:val="24"/>
            <w:szCs w:val="24"/>
          </w:rPr>
          <w:t>https://ec.europa.eu/tools/ecertis/</w:t>
        </w:r>
      </w:hyperlink>
      <w:r>
        <w:rPr>
          <w:rFonts w:cs="Times New Roman" w:ascii="Times New Roman" w:hAnsi="Times New Roman"/>
          <w:sz w:val="24"/>
          <w:szCs w:val="24"/>
        </w:rPr>
        <w:t xml:space="preserve">. </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Perkančioji organizacija nereikalauja iš tiekėjo pateikti dokumentų, patvirtinančių jo pašalinimo pagrindų nebuvimą, jeigu ji:</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priesaikos deklaracija;</w:t>
      </w:r>
    </w:p>
    <w:p>
      <w:pPr>
        <w:pStyle w:val="Normal"/>
        <w:tabs>
          <w:tab w:val="clear" w:pos="1296"/>
          <w:tab w:val="left" w:pos="851" w:leader="none"/>
          <w:tab w:val="left" w:pos="993"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9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5"/>
        <w:gridCol w:w="3349"/>
        <w:gridCol w:w="2408"/>
        <w:gridCol w:w="3455"/>
      </w:tblGrid>
      <w:tr>
        <w:trPr/>
        <w:tc>
          <w:tcPr>
            <w:tcW w:w="705"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Times New Roman" w:hAnsi="Times New Roman" w:cs="Times New Roman"/>
                <w:b/>
                <w:bCs/>
                <w:sz w:val="24"/>
                <w:szCs w:val="24"/>
              </w:rPr>
            </w:pPr>
            <w:r>
              <w:rPr>
                <w:rFonts w:cs="Times New Roman" w:ascii="Times New Roman" w:hAnsi="Times New Roman"/>
                <w:b/>
                <w:bCs/>
                <w:sz w:val="24"/>
                <w:szCs w:val="24"/>
              </w:rPr>
              <w:t>Eil. Nr.</w:t>
            </w:r>
          </w:p>
        </w:tc>
        <w:tc>
          <w:tcPr>
            <w:tcW w:w="334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bCs/>
                <w:sz w:val="24"/>
                <w:szCs w:val="24"/>
                <w:lang w:eastAsia="en-US"/>
              </w:rPr>
            </w:pPr>
            <w:r>
              <w:rPr>
                <w:rFonts w:cs="Times New Roman" w:ascii="Times New Roman" w:hAnsi="Times New Roman"/>
                <w:b/>
                <w:sz w:val="24"/>
                <w:szCs w:val="24"/>
              </w:rPr>
              <w:t>Tiekėjo pašalinimo pagrindai</w:t>
            </w:r>
          </w:p>
        </w:tc>
        <w:tc>
          <w:tcPr>
            <w:tcW w:w="24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straipsnis,  dalis, punktas bei EBVPD formos dalis pildymui</w:t>
            </w:r>
          </w:p>
        </w:tc>
        <w:tc>
          <w:tcPr>
            <w:tcW w:w="345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bCs/>
                <w:iCs/>
                <w:sz w:val="24"/>
                <w:szCs w:val="24"/>
                <w:lang w:eastAsia="en-US"/>
              </w:rPr>
            </w:pPr>
            <w:r>
              <w:rPr>
                <w:rFonts w:cs="Times New Roman" w:ascii="Times New Roman" w:hAnsi="Times New Roman"/>
                <w:b/>
                <w:sz w:val="24"/>
                <w:szCs w:val="24"/>
              </w:rPr>
              <w:t>Pašalinimo pagrindų nebuvimą įrodantys dokumentai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lang w:eastAsia="en-US"/>
              </w:rPr>
            </w:pPr>
            <w:r>
              <w:rPr>
                <w:rFonts w:cs="Times New Roman" w:ascii="Times New Roman" w:hAnsi="Times New Roman"/>
                <w:sz w:val="24"/>
                <w:szCs w:val="24"/>
                <w:lang w:eastAsia="en-US"/>
              </w:rPr>
              <w:t>Tiekėjas arba jo atsakingas asmuo, nurodytas VPĮ 46 straipsnio 2 dalies 2 punkte, nuteistas už šią nusikalstamą veiką: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1) dalyvavimą nusikalstamame susivienijime, jo organizavimą ar vadovavimą jam;</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2) kyšininkavimą, prekybą poveikiu, papirkimą;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4) nusikalstamą bankrotą;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5) teroristinį ir su teroristine veikla susijusį nusikaltimą;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6) nusikalstamu būdu gauto turto legalizavimą;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7) prekybą žmonėmis, vaiko pirkimą arba pardavimą;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Laikoma, kad tiekėjas arba jo atsakingas asmuo nuteistas už aukščiau nurodytą nusikalstamą veiką, kai dėl:</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2) tiekėjo, kuris yra juridinis asmuo, kita organizacija ar jos </w:t>
            </w:r>
            <w:r>
              <w:rPr>
                <w:rFonts w:cs="Times New Roman" w:ascii="Times New Roman" w:hAnsi="Times New Roman"/>
                <w:b/>
                <w:bCs/>
                <w:sz w:val="24"/>
                <w:szCs w:val="24"/>
              </w:rPr>
              <w:t>struktūrinis</w:t>
            </w:r>
            <w:r>
              <w:rPr>
                <w:rFonts w:cs="Times New Roman" w:ascii="Times New Roman" w:hAnsi="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cs="Times New Roman" w:ascii="Times New Roman" w:hAnsi="Times New Roman"/>
                <w:b/>
                <w:bCs/>
                <w:sz w:val="24"/>
                <w:szCs w:val="24"/>
              </w:rPr>
              <w:t>struktūrinis</w:t>
            </w:r>
            <w:r>
              <w:rPr>
                <w:rFonts w:cs="Times New Roman" w:ascii="Times New Roman" w:hAnsi="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 xml:space="preserve">3) tiekėjo, kuris yra juridinis asmuo, kita organizacija ar jos </w:t>
            </w:r>
            <w:r>
              <w:rPr>
                <w:rFonts w:cs="Times New Roman" w:ascii="Times New Roman" w:hAnsi="Times New Roman"/>
                <w:b/>
                <w:sz w:val="24"/>
                <w:szCs w:val="24"/>
                <w:lang w:eastAsia="en-US"/>
              </w:rPr>
              <w:t>struktūrinis</w:t>
            </w:r>
            <w:r>
              <w:rPr>
                <w:rFonts w:cs="Times New Roman"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lang w:eastAsia="en-US"/>
              </w:rPr>
            </w:pPr>
            <w:r>
              <w:rPr>
                <w:rFonts w:eastAsia="Yu Mincho" w:cs="Times New Roman" w:ascii="Times New Roman" w:hAnsi="Times New Roman"/>
                <w:b/>
                <w:bCs/>
                <w:sz w:val="24"/>
                <w:szCs w:val="24"/>
                <w:lang w:eastAsia="en-US"/>
              </w:rPr>
              <w:t>VPĮ 46 straipsnio 1 dalis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A1-A6 punktai</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D1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Lietuvoje įsteigtų subjektų reikalaujama: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išrašo iš teismo sprendimo arba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Informatikos ir ryšių departamento prie Vidaus reikalų ministerijos pažymos, arba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valstybės įmonės Registrų centro Lietuvos Respublikos Vyriausybės nustatyta tvarka išduoto dokumento, patvirtinančio jungtinius kompetentingų institucijų tvarkomus duomenis.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ind w:hanging="360" w:left="314"/>
              <w:jc w:val="both"/>
              <w:rPr>
                <w:rFonts w:ascii="Times New Roman" w:hAnsi="Times New Roman" w:cs="Times New Roman"/>
                <w:b/>
                <w:bCs/>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2"/>
            </w:r>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Nurodyti dokumentai turi būti išduoti ne anksčiau kaip 180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yra neatlikęs jam paskirtos baudžiamojo poveikio priemonės – uždraudimo juridiniam asmeniui dalyvauti viešuosiuose pirkimuose.</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lang w:eastAsia="en-US"/>
              </w:rPr>
            </w:pPr>
            <w:r>
              <w:rPr>
                <w:rFonts w:eastAsia="Yu Mincho" w:cs="Times New Roman" w:ascii="Times New Roman" w:hAnsi="Times New Roman"/>
                <w:b/>
                <w:bCs/>
                <w:sz w:val="24"/>
                <w:szCs w:val="24"/>
                <w:lang w:eastAsia="en-US"/>
              </w:rPr>
              <w:t>VPĮ 46 straipsnio 2¹ dalis</w:t>
            </w:r>
          </w:p>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r>
          </w:p>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sz w:val="24"/>
                <w:szCs w:val="24"/>
                <w:lang w:eastAsia="en-US"/>
              </w:rPr>
              <w:t>EBVPD III dalies D2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lang w:eastAsia="en-US"/>
              </w:rPr>
            </w:pPr>
            <w:r>
              <w:rPr>
                <w:rFonts w:cs="Times New Roman" w:ascii="Times New Roman" w:hAnsi="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Laikoma, kad tiekėjas nuteistas už aukščiau nurodytą nusikalstamą veiką, kai dėl:</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 xml:space="preserve">2) tiekėjo, kuris yra juridinis asmuo, kita organizacija ar jos </w:t>
            </w:r>
            <w:r>
              <w:rPr>
                <w:rFonts w:cs="Times New Roman" w:ascii="Times New Roman" w:hAnsi="Times New Roman"/>
                <w:b/>
                <w:sz w:val="24"/>
                <w:szCs w:val="24"/>
                <w:lang w:eastAsia="en-US"/>
              </w:rPr>
              <w:t>struktūrinis</w:t>
            </w:r>
            <w:r>
              <w:rPr>
                <w:rFonts w:cs="Times New Roman"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Tačiau ši nuostata netaikoma, jeigu:</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2) įsiskolinimo suma neviršija 50 Eur (penkiasdešimt eurų);</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3 dalis</w:t>
            </w:r>
          </w:p>
          <w:p>
            <w:pPr>
              <w:pStyle w:val="NoSpacing"/>
              <w:jc w:val="both"/>
              <w:rPr>
                <w:rFonts w:ascii="Times New Roman" w:hAnsi="Times New Roman" w:eastAsia="Arial" w:cs="Times New Roman"/>
                <w:sz w:val="24"/>
                <w:szCs w:val="24"/>
              </w:rPr>
            </w:pPr>
            <w:r>
              <w:rPr>
                <w:rFonts w:eastAsia="Arial"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Arial" w:cs="Times New Roman" w:ascii="Times New Roman" w:hAnsi="Times New Roman"/>
                <w:sz w:val="24"/>
                <w:szCs w:val="24"/>
              </w:rPr>
              <w:t>EBVPD III dalies B1 ir B2 punktai</w:t>
            </w:r>
          </w:p>
        </w:tc>
        <w:tc>
          <w:tcPr>
            <w:tcW w:w="3455" w:type="dxa"/>
            <w:tcBorders>
              <w:top w:val="single" w:sz="4" w:space="0" w:color="000000"/>
              <w:left w:val="single" w:sz="4" w:space="0" w:color="000000"/>
              <w:bottom w:val="single" w:sz="4" w:space="0" w:color="000000"/>
              <w:right w:val="single" w:sz="4" w:space="0" w:color="000000"/>
            </w:tcBorders>
          </w:tcPr>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sz w:val="24"/>
                <w:szCs w:val="24"/>
              </w:rPr>
              <w:t>1) Dėl įsipareigojimų, susijusių su mokesčių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sz w:val="24"/>
                <w:szCs w:val="24"/>
              </w:rPr>
              <w:t>prašoma:</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numPr>
                <w:ilvl w:val="0"/>
                <w:numId w:val="9"/>
              </w:numPr>
              <w:tabs>
                <w:tab w:val="clear" w:pos="1296"/>
                <w:tab w:val="left" w:pos="256" w:leader="none"/>
              </w:tabs>
              <w:ind w:hanging="0" w:left="0"/>
              <w:jc w:val="both"/>
              <w:rPr>
                <w:rFonts w:ascii="Times New Roman" w:hAnsi="Times New Roman" w:cs="Times New Roman"/>
                <w:sz w:val="24"/>
                <w:szCs w:val="24"/>
              </w:rPr>
            </w:pPr>
            <w:r>
              <w:rPr>
                <w:rFonts w:cs="Times New Roman" w:ascii="Times New Roman" w:hAnsi="Times New Roman"/>
                <w:sz w:val="24"/>
                <w:szCs w:val="24"/>
              </w:rPr>
              <w:t>išrašo iš teismo sprendimo (jei toks yra) arba Valstybinės mokesčių inspekcijos prie Lietuvos Respublikos finansų ministerijos išduoto dokumento,</w:t>
            </w:r>
          </w:p>
          <w:p>
            <w:pPr>
              <w:pStyle w:val="NoSpacing"/>
              <w:numPr>
                <w:ilvl w:val="0"/>
                <w:numId w:val="8"/>
              </w:numPr>
              <w:tabs>
                <w:tab w:val="clear" w:pos="1296"/>
                <w:tab w:val="left" w:pos="256" w:leader="none"/>
              </w:tabs>
              <w:ind w:hanging="0" w:left="0"/>
              <w:jc w:val="both"/>
              <w:rPr>
                <w:rFonts w:ascii="Times New Roman" w:hAnsi="Times New Roman" w:cs="Times New Roman"/>
                <w:sz w:val="24"/>
                <w:szCs w:val="24"/>
              </w:rPr>
            </w:pPr>
            <w:r>
              <w:rPr>
                <w:rFonts w:cs="Times New Roman" w:ascii="Times New Roman" w:hAnsi="Times New Roman"/>
                <w:sz w:val="24"/>
                <w:szCs w:val="24"/>
              </w:rPr>
              <w:t>arba valstybės įmonės Registrų centro Lietuvos Respublikos Vyriausybės nustatyta tvarka išduoto dokumento, patvirtinančio jungtinius kompetentingų institucijų tvarkomus duomenis.</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tabs>
                <w:tab w:val="clear" w:pos="1296"/>
                <w:tab w:val="left" w:pos="25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3"/>
            </w:r>
            <w:r>
              <w:rPr>
                <w:rFonts w:cs="Times New Roman" w:ascii="Times New Roman" w:hAnsi="Times New Roman"/>
                <w:sz w:val="24"/>
                <w:szCs w:val="24"/>
              </w:rPr>
              <w:t>.</w:t>
            </w:r>
          </w:p>
          <w:p>
            <w:pPr>
              <w:pStyle w:val="NoSpacing"/>
              <w:tabs>
                <w:tab w:val="clear" w:pos="1296"/>
                <w:tab w:val="left" w:pos="256" w:leader="none"/>
              </w:tabs>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i/>
                <w:iCs/>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Cs/>
                <w:sz w:val="24"/>
                <w:szCs w:val="24"/>
              </w:rPr>
              <w:t>2) Dėl įsipareigojimų, susijusių su socialinio draudimo įmokų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bCs/>
                <w:sz w:val="24"/>
                <w:szCs w:val="24"/>
              </w:rPr>
              <w:t>prašoma:</w:t>
            </w:r>
          </w:p>
          <w:p>
            <w:pPr>
              <w:pStyle w:val="NoSpacing"/>
              <w:tabs>
                <w:tab w:val="clear" w:pos="1296"/>
                <w:tab w:val="left" w:pos="256" w:leader="none"/>
              </w:tabs>
              <w:jc w:val="both"/>
              <w:rPr>
                <w:rFonts w:ascii="Times New Roman" w:hAnsi="Times New Roman" w:cs="Times New Roman"/>
                <w:bCs/>
                <w:sz w:val="24"/>
                <w:szCs w:val="24"/>
              </w:rPr>
            </w:pPr>
            <w:r>
              <w:rPr>
                <w:rFonts w:cs="Times New Roman"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r>
                <w:rPr>
                  <w:rStyle w:val="Hyperlink"/>
                  <w:rFonts w:cs="Times New Roman" w:ascii="Times New Roman" w:hAnsi="Times New Roman"/>
                  <w:bCs/>
                  <w:sz w:val="24"/>
                  <w:szCs w:val="24"/>
                  <w:u w:val="single"/>
                </w:rPr>
                <w:t>http://draudejai.sodra.lt/draudeju_viesi_duomenys/</w:t>
              </w:r>
            </w:hyperlink>
            <w:r>
              <w:rPr>
                <w:rFonts w:cs="Times New Roman" w:ascii="Times New Roman" w:hAnsi="Times New Roman"/>
                <w:bCs/>
                <w:sz w:val="24"/>
                <w:szCs w:val="24"/>
              </w:rPr>
              <w:t>.</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tabs>
                <w:tab w:val="clear" w:pos="1296"/>
                <w:tab w:val="left" w:pos="25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atitinkamos užsienio šalies kompetentingos institucijos dokumento</w:t>
            </w:r>
            <w:r>
              <w:rPr>
                <w:rStyle w:val="FootnoteReference"/>
                <w:rFonts w:cs="Times New Roman" w:ascii="Times New Roman" w:hAnsi="Times New Roman"/>
                <w:sz w:val="24"/>
                <w:szCs w:val="24"/>
              </w:rPr>
              <w:footnoteReference w:id="4"/>
            </w:r>
            <w:r>
              <w:rPr>
                <w:rFonts w:cs="Times New Roman" w:ascii="Times New Roman" w:hAnsi="Times New Roman"/>
                <w:sz w:val="24"/>
                <w:szCs w:val="24"/>
              </w:rPr>
              <w:t>.</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bookmarkStart w:id="52" w:name="_Hlk90887843"/>
            <w:bookmarkStart w:id="53" w:name="_Hlk90887843"/>
            <w:bookmarkEnd w:id="53"/>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1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C10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pirkimo metu pateko į interesų konflikto situaciją, kaip apibrėžta VPĮ 21 straipsnyje, ir atitinkamos padėties negalima ištaisyti.</w:t>
            </w:r>
          </w:p>
          <w:p>
            <w:pPr>
              <w:pStyle w:val="NoSpacing"/>
              <w:jc w:val="both"/>
              <w:rPr>
                <w:rFonts w:ascii="Times New Roman" w:hAnsi="Times New Roman" w:cs="Times New Roman"/>
                <w:b/>
                <w:bCs/>
                <w:sz w:val="24"/>
                <w:szCs w:val="24"/>
              </w:rPr>
            </w:pPr>
            <w:r>
              <w:rPr>
                <w:rFonts w:cs="Times New Roman"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2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C12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Pažeista konkurencija, kaip nustatyta VPĮ 27 straipsnio 3 ir 4 dalyse, ir atitinkamos padėties negalima ištaisyti.</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3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C13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4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C15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Times New Roman" w:hAnsi="Times New Roman" w:cs="Times New Roman"/>
                <w:sz w:val="24"/>
                <w:szCs w:val="24"/>
              </w:rPr>
            </w:pPr>
            <w:hyperlink r:id="rId9">
              <w:r>
                <w:rPr>
                  <w:rStyle w:val="Hyperlink"/>
                  <w:rFonts w:cs="Times New Roman" w:ascii="Times New Roman" w:hAnsi="Times New Roman"/>
                  <w:sz w:val="24"/>
                  <w:szCs w:val="24"/>
                </w:rPr>
                <w:t>https://vpt.lrv.lt/lt/nuorodos/kiti-duomenys/powerbi/melaginga-informacija-pateikusiu-tiekeju-sarasas-3/</w:t>
              </w:r>
            </w:hyperlink>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5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C15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6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C14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0">
              <w:r>
                <w:rPr>
                  <w:rStyle w:val="Hyperlink"/>
                  <w:rFonts w:cs="Times New Roman" w:ascii="Times New Roman" w:hAnsi="Times New Roman"/>
                  <w:sz w:val="24"/>
                  <w:szCs w:val="24"/>
                </w:rPr>
                <w:t>https://vpt.lrv.lt/lt/nuorodos/kiti-duomenys/powerbi/nepatikimi-tiekejai-1/</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1">
              <w:r>
                <w:rPr>
                  <w:rStyle w:val="Hyperlink"/>
                  <w:rFonts w:cs="Times New Roman" w:ascii="Times New Roman" w:hAnsi="Times New Roman"/>
                  <w:sz w:val="24"/>
                  <w:szCs w:val="24"/>
                </w:rPr>
                <w:t>https://vpt.lrv.lt/lt/pasalinimo-pagrindai-1/nepatikimu-koncesininku-sarasas-1/nepatikimu-koncesininku-sarasas/</w:t>
              </w:r>
            </w:hyperlink>
          </w:p>
          <w:p>
            <w:pPr>
              <w:pStyle w:val="NoSpacing"/>
              <w:jc w:val="both"/>
              <w:rPr>
                <w:rFonts w:ascii="Times New Roman" w:hAnsi="Times New Roman" w:cs="Times New Roman"/>
                <w:bCs/>
                <w:sz w:val="24"/>
                <w:szCs w:val="24"/>
              </w:rPr>
            </w:pPr>
            <w:r>
              <w:rPr>
                <w:rFonts w:cs="Times New Roman" w:ascii="Times New Roman" w:hAnsi="Times New Roman"/>
                <w:bCs/>
                <w:sz w:val="24"/>
                <w:szCs w:val="24"/>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p>
            <w:pPr>
              <w:pStyle w:val="NoSpacing"/>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 kai jis</w:t>
            </w:r>
            <w:bookmarkStart w:id="54" w:name="part_030e6c6c64ba4f96a23474e439d1b80c"/>
            <w:bookmarkEnd w:id="54"/>
            <w:r>
              <w:rPr>
                <w:rFonts w:cs="Times New Roman" w:ascii="Times New Roman" w:hAnsi="Times New Roman"/>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Times New Roman" w:hAnsi="Times New Roman" w:cs="Times New Roman"/>
                <w:b/>
                <w:sz w:val="24"/>
                <w:szCs w:val="24"/>
              </w:rPr>
            </w:pPr>
            <w:r>
              <w:rPr>
                <w:rFonts w:cs="Times New Roman" w:ascii="Times New Roman" w:hAnsi="Times New Roman"/>
                <w:b/>
                <w:sz w:val="24"/>
                <w:szCs w:val="24"/>
              </w:rPr>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a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 xml:space="preserve">Iš Lietuvoje įsteigtų subjektų įrodančių dokumentų nereikalaujama. Užtenka pateikto EBVPD. </w:t>
            </w:r>
            <w:r>
              <w:rPr>
                <w:rFonts w:cs="Times New Roman" w:ascii="Times New Roman" w:hAnsi="Times New Roman"/>
                <w:sz w:val="24"/>
                <w:szCs w:val="24"/>
              </w:rPr>
              <w:t>Priimant sprendimus dėl tiekėjo pašalinimo iš pirkimo procedūros šiame punkte nurodytu pašalinimo pagrindu, be kita ko, atsižvelgiama į</w:t>
            </w:r>
            <w:r>
              <w:rPr>
                <w:rFonts w:cs="Times New Roman" w:ascii="Times New Roman" w:hAnsi="Times New Roman"/>
                <w:b/>
                <w:bCs/>
                <w:sz w:val="24"/>
                <w:szCs w:val="24"/>
              </w:rPr>
              <w:t xml:space="preserve"> </w:t>
            </w:r>
            <w:r>
              <w:rPr>
                <w:rFonts w:cs="Times New Roman" w:ascii="Times New Roman" w:hAnsi="Times New Roman"/>
                <w:sz w:val="24"/>
                <w:szCs w:val="24"/>
              </w:rPr>
              <w:t xml:space="preserve">nacionalinėje duomenų bazėje adresu: </w:t>
            </w:r>
            <w:hyperlink r:id="rId12">
              <w:r>
                <w:rPr>
                  <w:rStyle w:val="Hyperlink"/>
                  <w:rFonts w:cs="Times New Roman" w:ascii="Times New Roman" w:hAnsi="Times New Roman"/>
                  <w:sz w:val="24"/>
                  <w:szCs w:val="24"/>
                  <w:u w:val="single"/>
                </w:rPr>
                <w:t>https://www.registrucentras.lt/jar/p/index.php</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t>paskelbtą informaciją, taip pat į šiame informaciniame pranešime pateiktą informaciją:</w:t>
            </w:r>
          </w:p>
          <w:p>
            <w:pPr>
              <w:pStyle w:val="NoSpacing"/>
              <w:jc w:val="both"/>
              <w:rPr>
                <w:rFonts w:ascii="Times New Roman" w:hAnsi="Times New Roman" w:cs="Times New Roman"/>
                <w:sz w:val="24"/>
                <w:szCs w:val="24"/>
              </w:rPr>
            </w:pPr>
            <w:hyperlink r:id="rId13">
              <w:r>
                <w:rPr>
                  <w:rStyle w:val="Hyperlink"/>
                  <w:rFonts w:cs="Times New Roman" w:ascii="Times New Roman" w:hAnsi="Times New Roman"/>
                  <w:sz w:val="24"/>
                  <w:szCs w:val="24"/>
                </w:rPr>
                <w:t>https://vpt.lrv.lt/lt/naujienos-3/finansiniu-ataskaitu-nepateikimas-gali-tapti-kliutimi-dalyvauti-viesuosiuose-pirkimuose/</w:t>
              </w:r>
            </w:hyperlink>
          </w:p>
          <w:p>
            <w:pPr>
              <w:pStyle w:val="NoSpacing"/>
              <w:jc w:val="both"/>
              <w:rPr>
                <w:rFonts w:ascii="Times New Roman" w:hAnsi="Times New Roman" w:cs="Times New Roman"/>
                <w:b/>
                <w:bCs/>
                <w:iCs/>
                <w:sz w:val="24"/>
                <w:szCs w:val="24"/>
              </w:rPr>
            </w:pPr>
            <w:r>
              <w:rPr>
                <w:rFonts w:cs="Times New Roman" w:ascii="Times New Roman" w:hAnsi="Times New Roman"/>
                <w:b/>
                <w:bCs/>
                <w:i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 xml:space="preserve">Tiekėjas yra padaręs rimtą profesinį pažeidimą, dėl kurio perkančioji organizacija abejoja tiekėjo sąžiningumu, </w:t>
            </w:r>
            <w:r>
              <w:rPr>
                <w:rFonts w:eastAsia="Times New Roman" w:cs="Times New Roman" w:ascii="Times New Roman" w:hAnsi="Times New Roman"/>
                <w:sz w:val="24"/>
                <w:szCs w:val="24"/>
              </w:rPr>
              <w:t xml:space="preserve"> kai jis (tiekėjas) neatitinka minimalių patikimo mokesčių mokėtojo kriterijų, nustatytų Lietuvos Respublikos mokesčių administravimo įstatymo 40</w:t>
            </w:r>
            <w:r>
              <w:rPr>
                <w:rFonts w:eastAsia="Times New Roman" w:cs="Times New Roman" w:ascii="Times New Roman" w:hAnsi="Times New Roman"/>
                <w:sz w:val="24"/>
                <w:szCs w:val="24"/>
                <w:vertAlign w:val="superscript"/>
              </w:rPr>
              <w:t>1</w:t>
            </w:r>
            <w:r>
              <w:rPr>
                <w:rFonts w:eastAsia="Times New Roman" w:cs="Times New Roman" w:ascii="Times New Roman" w:hAnsi="Times New Roman"/>
                <w:sz w:val="24"/>
                <w:szCs w:val="24"/>
              </w:rPr>
              <w:t xml:space="preserve"> straipsnio 1 dalyje.</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b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sz w:val="24"/>
                <w:szCs w:val="24"/>
              </w:rPr>
              <w:t>Priimant sprendimus dėl tiekėjo pašalinimo iš pirkimo procedūros šiame punkte nurodytu pašalinimo pagrindu, be kita ko, atsižvelgiama į</w:t>
            </w:r>
            <w:r>
              <w:rPr>
                <w:rFonts w:cs="Times New Roman" w:ascii="Times New Roman" w:hAnsi="Times New Roman"/>
                <w:b/>
                <w:bCs/>
                <w:sz w:val="24"/>
                <w:szCs w:val="24"/>
              </w:rPr>
              <w:t xml:space="preserve"> </w:t>
            </w:r>
            <w:r>
              <w:rPr>
                <w:rFonts w:cs="Times New Roman" w:ascii="Times New Roman" w:hAnsi="Times New Roman"/>
                <w:sz w:val="24"/>
                <w:szCs w:val="24"/>
              </w:rPr>
              <w:t xml:space="preserve">nacionalinėje duomenų bazėje adresu </w:t>
            </w:r>
            <w:hyperlink r:id="rId14">
              <w:r>
                <w:rPr>
                  <w:rStyle w:val="Hyperlink"/>
                  <w:rFonts w:cs="Times New Roman" w:ascii="Times New Roman" w:hAnsi="Times New Roman"/>
                  <w:sz w:val="24"/>
                  <w:szCs w:val="24"/>
                  <w:u w:val="single"/>
                </w:rPr>
                <w:t>https://www.vmi.lt/evmi/mokesciu-moketoju-informacija</w:t>
              </w:r>
            </w:hyperlink>
            <w:r>
              <w:rPr>
                <w:rFonts w:cs="Times New Roman" w:ascii="Times New Roman" w:hAnsi="Times New Roman"/>
                <w:sz w:val="24"/>
                <w:szCs w:val="24"/>
              </w:rPr>
              <w:t xml:space="preserve"> skelbiamą informaciją.</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w:t>
            </w:r>
            <w:r>
              <w:rPr>
                <w:rFonts w:eastAsia="Times New Roman" w:cs="Times New Roman" w:ascii="Times New Roman" w:hAnsi="Times New Roman"/>
                <w:sz w:val="24"/>
                <w:szCs w:val="24"/>
              </w:rPr>
              <w:t xml:space="preserve"> kai jis </w:t>
            </w:r>
            <w:r>
              <w:rPr>
                <w:rFonts w:cs="Times New Roman" w:ascii="Times New Roman" w:hAnsi="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c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0"/>
              <w:rPr>
                <w:rFonts w:ascii="Times New Roman" w:hAnsi="Times New Roman" w:cs="Times New Roman"/>
                <w:bCs/>
                <w:iCs/>
                <w:sz w:val="24"/>
                <w:szCs w:val="24"/>
                <w:lang w:eastAsia="en-US"/>
              </w:rPr>
            </w:pPr>
            <w:hyperlink r:id="rId15">
              <w:r>
                <w:rPr>
                  <w:rStyle w:val="Hyperlink"/>
                  <w:rFonts w:cs="Times New Roman" w:ascii="Times New Roman" w:hAnsi="Times New Roman"/>
                  <w:sz w:val="24"/>
                  <w:szCs w:val="24"/>
                  <w:u w:val="single"/>
                </w:rPr>
                <w:t>https://kt.gov.lt/lt/atviri-duomenys/diskvalifikavimas-is-viesuju-pirkimu</w:t>
              </w:r>
            </w:hyperlink>
            <w:r>
              <w:rPr>
                <w:rFonts w:cs="Times New Roman" w:ascii="Times New Roman" w:hAnsi="Times New Roman"/>
                <w:sz w:val="24"/>
                <w:szCs w:val="24"/>
              </w:rPr>
              <w:t xml:space="preserve"> skelbiamą informaciją.</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lang w:val="en-US"/>
        </w:rPr>
      </w:pPr>
      <w:r>
        <w:rPr>
          <w:rFonts w:cs="Times New Roman" w:ascii="Times New Roman" w:hAnsi="Times New Roman"/>
          <w:sz w:val="24"/>
          <w:szCs w:val="24"/>
          <w:lang w:val="en-US"/>
        </w:rPr>
        <w:t>Taikomi visoms pirkimo dalims</w:t>
      </w:r>
    </w:p>
    <w:p>
      <w:pPr>
        <w:pStyle w:val="Normal"/>
        <w:jc w:val="center"/>
        <w:rPr>
          <w:rFonts w:ascii="Times New Roman" w:hAnsi="Times New Roman" w:cs="Times New Roman"/>
          <w:b/>
          <w:bCs/>
          <w:smallCaps/>
          <w:sz w:val="24"/>
          <w:szCs w:val="24"/>
        </w:rPr>
      </w:pPr>
      <w:r>
        <w:rPr>
          <w:rFonts w:cs="Times New Roman" w:ascii="Times New Roman" w:hAnsi="Times New Roman"/>
          <w:smallCaps/>
          <w:sz w:val="24"/>
          <w:szCs w:val="24"/>
        </w:rPr>
        <w:t>__________</w:t>
      </w:r>
      <w:r>
        <w:br w:type="page"/>
      </w:r>
    </w:p>
    <w:p>
      <w:pPr>
        <w:pStyle w:val="Heading2"/>
        <w:spacing w:before="0" w:after="0"/>
        <w:ind w:left="5103"/>
        <w:rPr>
          <w:rFonts w:ascii="Times New Roman" w:hAnsi="Times New Roman" w:eastAsia="Calibri" w:cs="Times New Roman"/>
          <w:color w:val="auto"/>
          <w:sz w:val="24"/>
          <w:szCs w:val="24"/>
        </w:rPr>
      </w:pPr>
      <w:bookmarkStart w:id="55" w:name="_Ref38291223"/>
      <w:bookmarkStart w:id="56" w:name="_Ref38291334"/>
      <w:bookmarkStart w:id="57" w:name="_Ref38533412"/>
      <w:bookmarkStart w:id="58" w:name="_Toc213187625"/>
      <w:r>
        <w:rPr>
          <w:rFonts w:eastAsia="Calibri" w:cs="Times New Roman" w:ascii="Times New Roman" w:hAnsi="Times New Roman"/>
          <w:color w:val="auto"/>
          <w:sz w:val="24"/>
          <w:szCs w:val="24"/>
        </w:rPr>
        <w:t>Pirkimo sąlygų 4 priedas „Tiekėjų kvalifikacijos reikalavimai ir reikalaujami kokybės bei aplinkos apsaugos vadybos sistemų standartai“</w:t>
      </w:r>
      <w:bookmarkEnd w:id="55"/>
      <w:bookmarkEnd w:id="56"/>
      <w:bookmarkEnd w:id="57"/>
      <w:bookmarkEnd w:id="58"/>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Normal"/>
        <w:suppressAutoHyphens w:val="true"/>
        <w:jc w:val="center"/>
        <w:rPr>
          <w:rFonts w:ascii="Times New Roman" w:hAnsi="Times New Roman"/>
          <w:sz w:val="24"/>
          <w:szCs w:val="24"/>
        </w:rPr>
      </w:pPr>
      <w:r>
        <w:rPr>
          <w:rFonts w:eastAsia="Calibri" w:ascii="Times New Roman" w:hAnsi="Times New Roman"/>
          <w:b/>
          <w:smallCaps/>
          <w:kern w:val="0"/>
          <w:sz w:val="24"/>
          <w:szCs w:val="24"/>
          <w:lang w:eastAsia="lt-LT"/>
          <w14:ligatures w14:val="none"/>
        </w:rPr>
        <w:t xml:space="preserve">TIEKĖJŲ KVALIFIKACIJOS REIKALAVIMAI IR REIKALAVIMAI LAIKYTIS </w:t>
      </w:r>
      <w:r>
        <w:rPr>
          <w:rFonts w:eastAsia="Calibri" w:ascii="Times New Roman" w:hAnsi="Times New Roman"/>
          <w:b/>
          <w:caps/>
          <w:kern w:val="0"/>
          <w:sz w:val="24"/>
          <w:szCs w:val="24"/>
          <w14:ligatures w14:val="none"/>
        </w:rPr>
        <w:t>KOKYBĖS VADYBOS SISTEMOS IR (ARBA) APLINKOS APSAUGOS VADYBOS SISTEMOS STANDARTŲ</w:t>
      </w:r>
    </w:p>
    <w:p>
      <w:pPr>
        <w:pStyle w:val="Normal"/>
        <w:suppressAutoHyphens w:val="true"/>
        <w:jc w:val="center"/>
        <w:rPr>
          <w:rFonts w:ascii="Times New Roman" w:hAnsi="Times New Roman" w:eastAsia="Calibri"/>
          <w:b/>
          <w:caps/>
          <w:kern w:val="0"/>
          <w:sz w:val="24"/>
          <w:szCs w:val="24"/>
          <w14:ligatures w14:val="none"/>
        </w:rPr>
      </w:pPr>
      <w:r>
        <w:rPr>
          <w:rFonts w:eastAsia="Calibri" w:ascii="Times New Roman" w:hAnsi="Times New Roman"/>
          <w:b/>
          <w:caps/>
          <w:kern w:val="0"/>
          <w:sz w:val="24"/>
          <w:szCs w:val="24"/>
          <w14:ligatures w14:val="none"/>
        </w:rPr>
      </w:r>
    </w:p>
    <w:p>
      <w:pPr>
        <w:pStyle w:val="Normal"/>
        <w:numPr>
          <w:ilvl w:val="0"/>
          <w:numId w:val="0"/>
        </w:numPr>
        <w:tabs>
          <w:tab w:val="clear" w:pos="1296"/>
          <w:tab w:val="left" w:pos="851" w:leader="none"/>
        </w:tabs>
        <w:suppressAutoHyphens w:val="true"/>
        <w:spacing w:before="0" w:after="0"/>
        <w:ind w:hanging="0" w:left="0"/>
        <w:contextualSpacing/>
        <w:jc w:val="both"/>
        <w:rPr>
          <w:rFonts w:ascii="Times New Roman" w:hAnsi="Times New Roman"/>
          <w:i/>
          <w:i/>
          <w:iCs/>
          <w:sz w:val="24"/>
          <w:szCs w:val="24"/>
          <w:lang w:val="en-GB"/>
        </w:rPr>
      </w:pPr>
      <w:r>
        <w:rPr>
          <w:rFonts w:ascii="Times New Roman" w:hAnsi="Times New Roman"/>
          <w:i/>
          <w:iCs/>
          <w:sz w:val="24"/>
          <w:szCs w:val="24"/>
          <w:lang w:val="lt-LT"/>
        </w:rPr>
        <w:t>K</w:t>
      </w:r>
      <w:r>
        <w:rPr>
          <w:rFonts w:ascii="Times New Roman" w:hAnsi="Times New Roman"/>
          <w:i/>
          <w:iCs/>
          <w:sz w:val="24"/>
          <w:szCs w:val="24"/>
          <w:lang w:val="en-GB"/>
        </w:rPr>
        <w:t>valifikaciniai reikalavimai pridedami atski</w:t>
      </w:r>
      <w:r>
        <w:rPr>
          <w:rFonts w:ascii="Times New Roman" w:hAnsi="Times New Roman"/>
          <w:i/>
          <w:iCs/>
          <w:sz w:val="24"/>
          <w:szCs w:val="24"/>
          <w:lang w:val="lt-LT"/>
        </w:rPr>
        <w:t>rame</w:t>
      </w:r>
      <w:r>
        <w:rPr>
          <w:rFonts w:ascii="Times New Roman" w:hAnsi="Times New Roman"/>
          <w:i/>
          <w:iCs/>
          <w:sz w:val="24"/>
          <w:szCs w:val="24"/>
          <w:lang w:val="en-GB"/>
        </w:rPr>
        <w:t xml:space="preserve"> </w:t>
      </w:r>
      <w:r>
        <w:rPr>
          <w:rFonts w:ascii="Times New Roman" w:hAnsi="Times New Roman"/>
          <w:i/>
          <w:iCs/>
          <w:sz w:val="24"/>
          <w:szCs w:val="24"/>
          <w:lang w:val="lt-LT"/>
        </w:rPr>
        <w:t>dokumente</w:t>
      </w:r>
      <w:r>
        <w:rPr>
          <w:rFonts w:ascii="Times New Roman" w:hAnsi="Times New Roman"/>
          <w:i/>
          <w:iCs/>
          <w:sz w:val="24"/>
          <w:szCs w:val="24"/>
          <w:lang w:val="en-GB"/>
        </w:rPr>
        <w:t>.</w:t>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Heading2"/>
        <w:ind w:left="5103"/>
        <w:rPr>
          <w:rFonts w:ascii="Times New Roman" w:hAnsi="Times New Roman" w:cs="Times New Roman"/>
          <w:color w:val="auto"/>
          <w:sz w:val="24"/>
          <w:szCs w:val="24"/>
        </w:rPr>
      </w:pPr>
      <w:bookmarkStart w:id="59" w:name="_Ref38291379"/>
      <w:bookmarkStart w:id="60" w:name="_Ref38291394"/>
      <w:bookmarkStart w:id="61" w:name="_Ref38898251"/>
      <w:bookmarkStart w:id="62" w:name="_Toc213187626"/>
      <w:r>
        <w:rPr>
          <w:rFonts w:eastAsia="Calibri" w:cs="Times New Roman" w:ascii="Times New Roman" w:hAnsi="Times New Roman"/>
          <w:color w:val="auto"/>
          <w:sz w:val="24"/>
          <w:szCs w:val="24"/>
        </w:rPr>
        <w:t xml:space="preserve">Pirkimo sąlygų 5 priedas „EBVPD“ </w:t>
      </w:r>
      <w:r>
        <w:rPr>
          <w:rFonts w:cs="Times New Roman" w:ascii="Times New Roman" w:hAnsi="Times New Roman"/>
          <w:color w:val="auto"/>
          <w:sz w:val="24"/>
          <w:szCs w:val="24"/>
        </w:rPr>
        <w:t>(XML formatu)</w:t>
      </w:r>
      <w:bookmarkEnd w:id="59"/>
      <w:bookmarkEnd w:id="60"/>
      <w:bookmarkEnd w:id="61"/>
      <w:bookmarkEnd w:id="62"/>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Subtitle"/>
        <w:jc w:val="center"/>
        <w:rPr>
          <w:rFonts w:ascii="Times New Roman" w:hAnsi="Times New Roman" w:cs="Times New Roman"/>
          <w:b/>
          <w:bCs/>
          <w:smallCaps/>
          <w:color w:val="auto"/>
          <w:sz w:val="24"/>
          <w:szCs w:val="24"/>
        </w:rPr>
      </w:pPr>
      <w:r>
        <w:rPr>
          <w:rFonts w:cs="Times New Roman" w:ascii="Times New Roman" w:hAnsi="Times New Roman"/>
          <w:color w:val="auto"/>
          <w:sz w:val="24"/>
          <w:szCs w:val="24"/>
        </w:rPr>
        <w:t>EUROPOS BENDRASIS VIEŠŲJŲ PIRKIMŲ DOKUMENTAS</w:t>
      </w:r>
    </w:p>
    <w:p>
      <w:pPr>
        <w:pStyle w:val="Normal"/>
        <w:jc w:val="both"/>
        <w:rPr>
          <w:i/>
          <w:i/>
          <w:iCs/>
        </w:rPr>
      </w:pPr>
      <w:r>
        <w:rPr>
          <w:rFonts w:cs="Times New Roman" w:ascii="Times New Roman" w:hAnsi="Times New Roman"/>
          <w:i/>
          <w:iCs/>
          <w:sz w:val="24"/>
          <w:szCs w:val="24"/>
        </w:rPr>
        <w:t>„</w:t>
      </w:r>
      <w:r>
        <w:rPr>
          <w:rFonts w:cs="Times New Roman" w:ascii="Times New Roman" w:hAnsi="Times New Roman"/>
          <w:i/>
          <w:iCs/>
          <w:sz w:val="24"/>
          <w:szCs w:val="24"/>
        </w:rPr>
        <w:t xml:space="preserve">Europos bendrasis viešųjų pirkimų dokumentas (EBVPD)“ pateikiamas .xml formatu </w:t>
      </w:r>
      <w:r>
        <w:rPr>
          <w:rFonts w:cs="Times New Roman" w:ascii="Times New Roman" w:hAnsi="Times New Roman"/>
          <w:i/>
          <w:iCs/>
          <w:sz w:val="24"/>
          <w:szCs w:val="24"/>
          <w:lang w:val="en-US"/>
        </w:rPr>
        <w:t>atskirame dokumente</w:t>
      </w:r>
      <w:r>
        <w:rPr>
          <w:rFonts w:cs="Times New Roman" w:ascii="Times New Roman" w:hAnsi="Times New Roman"/>
          <w:i/>
          <w:iCs/>
          <w:sz w:val="24"/>
          <w:szCs w:val="24"/>
        </w:rPr>
        <w:t>.</w:t>
      </w:r>
    </w:p>
    <w:p>
      <w:pPr>
        <w:pStyle w:val="Normal"/>
        <w:jc w:val="center"/>
        <w:rPr>
          <w:rFonts w:ascii="Times New Roman" w:hAnsi="Times New Roman" w:cs="Times New Roman"/>
          <w:smallCaps/>
          <w:sz w:val="24"/>
          <w:szCs w:val="24"/>
        </w:rPr>
      </w:pPr>
      <w:r>
        <w:rPr>
          <w:rFonts w:cs="Times New Roman" w:ascii="Times New Roman" w:hAnsi="Times New Roman"/>
          <w:smallCaps/>
          <w:sz w:val="24"/>
          <w:szCs w:val="24"/>
        </w:rPr>
        <w:t>__________</w:t>
      </w:r>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r>
        <w:br w:type="page"/>
      </w:r>
    </w:p>
    <w:p>
      <w:pPr>
        <w:pStyle w:val="ListParagraph"/>
        <w:widowControl w:val="false"/>
        <w:numPr>
          <w:ilvl w:val="0"/>
          <w:numId w:val="0"/>
        </w:numPr>
        <w:shd w:val="clear" w:color="auto" w:fill="FFFFFF"/>
        <w:tabs>
          <w:tab w:val="clear" w:pos="1296"/>
          <w:tab w:val="left" w:pos="360" w:leader="none"/>
        </w:tabs>
        <w:spacing w:lineRule="auto" w:line="240" w:before="0" w:after="0"/>
        <w:ind w:hanging="0" w:left="709"/>
        <w:contextualSpacing/>
        <w:jc w:val="right"/>
        <w:rPr>
          <w:rFonts w:ascii="Times New Roman" w:hAnsi="Times New Roman"/>
          <w:sz w:val="24"/>
          <w:szCs w:val="24"/>
          <w:lang w:val="en-GB"/>
        </w:rPr>
      </w:pPr>
      <w:r>
        <w:rPr>
          <w:rFonts w:ascii="Times New Roman" w:hAnsi="Times New Roman"/>
          <w:sz w:val="24"/>
          <w:szCs w:val="24"/>
          <w:lang w:val="en-GB"/>
        </w:rPr>
        <w:t>Pirkimo s</w:t>
      </w:r>
      <w:r>
        <w:rPr>
          <w:rFonts w:ascii="Times New Roman" w:hAnsi="Times New Roman"/>
          <w:sz w:val="24"/>
          <w:szCs w:val="24"/>
          <w:lang w:val="lt-LT"/>
        </w:rPr>
        <w:t>ąlygų 6 priedas „Pasiūlymo forma“</w:t>
      </w:r>
    </w:p>
    <w:p>
      <w:pPr>
        <w:pStyle w:val="Normal"/>
        <w:tabs>
          <w:tab w:val="clear" w:pos="1296"/>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720" w:leader="none"/>
        </w:tabs>
        <w:spacing w:lineRule="auto" w:line="240" w:before="0" w:after="0"/>
        <w:contextualSpacing/>
        <w:jc w:val="both"/>
        <w:rPr>
          <w:rFonts w:ascii="Times New Roman" w:hAnsi="Times New Roman" w:cs="Times New Roman"/>
          <w:i/>
          <w:i/>
          <w:iCs/>
          <w:sz w:val="24"/>
          <w:szCs w:val="24"/>
        </w:rPr>
      </w:pPr>
      <w:r>
        <w:rPr>
          <w:rFonts w:cs="Times New Roman" w:ascii="Times New Roman" w:hAnsi="Times New Roman"/>
          <w:i/>
          <w:iCs/>
          <w:sz w:val="24"/>
          <w:szCs w:val="24"/>
        </w:rPr>
        <w:t>Pasiūlymo forma pridedamu atskirame dokumente.</w:t>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63" w:name="_Toc213187628"/>
      <w:r>
        <w:rPr>
          <w:rFonts w:eastAsia="Calibri" w:cs="Times New Roman" w:ascii="Times New Roman" w:hAnsi="Times New Roman"/>
          <w:color w:val="auto"/>
          <w:sz w:val="24"/>
          <w:szCs w:val="24"/>
        </w:rPr>
        <w:t>Pirkimo sąlygų 7 priedas „Pasiūlymų vertinimo kriterijai ir sąlygos“</w:t>
      </w:r>
      <w:bookmarkEnd w:id="63"/>
    </w:p>
    <w:p>
      <w:pPr>
        <w:pStyle w:val="Normal"/>
        <w:jc w:val="center"/>
        <w:rPr>
          <w:rFonts w:ascii="Times New Roman" w:hAnsi="Times New Roman" w:cs="Times New Roman"/>
          <w:b/>
          <w:sz w:val="24"/>
          <w:szCs w:val="24"/>
        </w:rPr>
      </w:pPr>
      <w:r>
        <w:rPr>
          <w:rFonts w:cs="Times New Roman" w:ascii="Times New Roman" w:hAnsi="Times New Roman"/>
          <w:b/>
          <w:sz w:val="24"/>
          <w:szCs w:val="24"/>
        </w:rPr>
      </w:r>
    </w:p>
    <w:p>
      <w:pPr>
        <w:pStyle w:val="Subtitle"/>
        <w:spacing w:lineRule="auto" w:line="240" w:before="0" w:after="0"/>
        <w:jc w:val="center"/>
        <w:rPr>
          <w:shd w:fill="FFFFFF" w:val="clear"/>
        </w:rPr>
      </w:pPr>
      <w:r>
        <w:rPr>
          <w:rFonts w:cs="Times New Roman" w:ascii="Times New Roman" w:hAnsi="Times New Roman"/>
          <w:b/>
          <w:color w:val="000000"/>
          <w:spacing w:val="0"/>
          <w:sz w:val="24"/>
          <w:szCs w:val="24"/>
          <w:shd w:fill="FFFFFF" w:val="clear"/>
        </w:rPr>
        <w:t>PASIŪLYMŲ VERTINIMO KRITERIJAI ir Sąlygos</w:t>
      </w:r>
    </w:p>
    <w:p>
      <w:pPr>
        <w:pStyle w:val="Normal"/>
        <w:widowControl w:val="false"/>
        <w:shd w:val="clear" w:color="auto" w:fill="FFFFFF"/>
        <w:spacing w:lineRule="auto" w:line="240" w:before="235" w:after="0"/>
        <w:jc w:val="center"/>
        <w:rPr>
          <w:shd w:fill="FFFFFF" w:val="clear"/>
        </w:rPr>
      </w:pPr>
      <w:r>
        <w:rPr>
          <w:rFonts w:cs="Times New Roman" w:ascii="Times New Roman" w:hAnsi="Times New Roman"/>
          <w:sz w:val="24"/>
          <w:szCs w:val="24"/>
        </w:rPr>
      </w:r>
    </w:p>
    <w:p>
      <w:pPr>
        <w:pStyle w:val="Normal"/>
        <w:jc w:val="both"/>
        <w:rPr>
          <w:rFonts w:ascii="Times New Roman" w:hAnsi="Times New Roman" w:eastAsia="Calibri" w:cs="Times New Roman"/>
          <w:i/>
          <w:i/>
          <w:iCs/>
          <w:sz w:val="24"/>
          <w:szCs w:val="24"/>
        </w:rPr>
      </w:pPr>
      <w:r>
        <w:rPr>
          <w:rFonts w:eastAsia="Calibri" w:cs="Times New Roman" w:ascii="Times New Roman" w:hAnsi="Times New Roman"/>
          <w:i/>
          <w:iCs/>
          <w:sz w:val="24"/>
          <w:szCs w:val="24"/>
        </w:rPr>
      </w:r>
    </w:p>
    <w:p>
      <w:pPr>
        <w:pStyle w:val="Normal"/>
        <w:tabs>
          <w:tab w:val="clear" w:pos="1296"/>
          <w:tab w:val="left" w:pos="2977" w:leader="none"/>
        </w:tabs>
        <w:spacing w:lineRule="atLeast" w:line="20" w:before="0" w:after="120"/>
        <w:rPr>
          <w:rFonts w:ascii="Times New Roman" w:hAnsi="Times New Roman"/>
          <w:lang w:val="en-US"/>
        </w:rPr>
      </w:pPr>
      <w:r>
        <w:rPr>
          <w:rFonts w:ascii="Times New Roman" w:hAnsi="Times New Roman"/>
          <w:lang w:val="lt-LT"/>
        </w:rPr>
        <w:t xml:space="preserve">1. </w:t>
      </w:r>
      <w:r>
        <w:rPr>
          <w:rFonts w:ascii="Times New Roman" w:hAnsi="Times New Roman"/>
          <w:lang w:val="en-US"/>
        </w:rPr>
        <w:t>Pasi</w:t>
      </w:r>
      <w:r>
        <w:rPr>
          <w:rFonts w:ascii="Times New Roman" w:hAnsi="Times New Roman"/>
          <w:lang w:val="lt-LT"/>
        </w:rPr>
        <w:t>ūlymai yra vertinami pagal mažiausios kainos kriterijų.</w:t>
      </w:r>
    </w:p>
    <w:p>
      <w:pPr>
        <w:pStyle w:val="Normal"/>
        <w:tabs>
          <w:tab w:val="clear" w:pos="1296"/>
          <w:tab w:val="left" w:pos="2977" w:leader="none"/>
        </w:tabs>
        <w:spacing w:lineRule="atLeast" w:line="20" w:before="0" w:after="120"/>
        <w:rPr>
          <w:rFonts w:ascii="Times New Roman" w:hAnsi="Times New Roman"/>
          <w:lang w:val="en-US"/>
        </w:rPr>
      </w:pPr>
      <w:r>
        <w:rPr>
          <w:rFonts w:ascii="Times New Roman" w:hAnsi="Times New Roman"/>
          <w:lang w:val="lt-LT"/>
        </w:rPr>
        <w:t>2. Vienos pirkimo dalies kana negali viršyti 8 264,46 euro be PVM.</w:t>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p>
    <w:p>
      <w:pPr>
        <w:pStyle w:val="Normal"/>
        <w:tabs>
          <w:tab w:val="clear" w:pos="1296"/>
          <w:tab w:val="left" w:pos="2977" w:leader="none"/>
        </w:tabs>
        <w:spacing w:lineRule="atLeast" w:line="20" w:before="0" w:after="120"/>
        <w:rPr>
          <w:lang w:val="lt-LT"/>
        </w:rPr>
      </w:pPr>
      <w:r>
        <w:rPr>
          <w:rFonts w:ascii="Times New Roman" w:hAnsi="Times New Roman"/>
          <w:lang w:val="en-US"/>
        </w:rPr>
      </w:r>
      <w:r>
        <w:br w:type="page"/>
      </w:r>
    </w:p>
    <w:p>
      <w:pPr>
        <w:pStyle w:val="Heading2"/>
        <w:spacing w:before="0" w:after="0"/>
        <w:ind w:left="5103"/>
        <w:rPr>
          <w:rFonts w:ascii="Times New Roman" w:hAnsi="Times New Roman" w:eastAsia="Calibri" w:cs="Times New Roman"/>
          <w:color w:val="auto"/>
          <w:sz w:val="24"/>
          <w:szCs w:val="24"/>
        </w:rPr>
      </w:pPr>
      <w:bookmarkStart w:id="64" w:name="_Toc213187628_Copy_1"/>
      <w:r>
        <w:rPr>
          <w:rFonts w:eastAsia="Calibri" w:cs="Times New Roman" w:ascii="Times New Roman" w:hAnsi="Times New Roman"/>
          <w:color w:val="auto"/>
          <w:sz w:val="24"/>
          <w:szCs w:val="24"/>
          <w:lang w:val="lt-LT"/>
        </w:rPr>
        <w:t xml:space="preserve">Pirkimo sąlygų </w:t>
      </w:r>
      <w:r>
        <w:rPr>
          <w:rFonts w:eastAsia="Calibri" w:cs="Times New Roman" w:ascii="Times New Roman" w:hAnsi="Times New Roman"/>
          <w:color w:val="auto"/>
          <w:sz w:val="24"/>
          <w:szCs w:val="24"/>
          <w:lang w:val="lt-LT"/>
        </w:rPr>
        <w:t>8</w:t>
      </w:r>
      <w:r>
        <w:rPr>
          <w:rFonts w:eastAsia="Calibri" w:cs="Times New Roman" w:ascii="Times New Roman" w:hAnsi="Times New Roman"/>
          <w:color w:val="auto"/>
          <w:sz w:val="24"/>
          <w:szCs w:val="24"/>
          <w:lang w:val="lt-LT"/>
        </w:rPr>
        <w:t xml:space="preserve"> priedas „</w:t>
      </w:r>
      <w:r>
        <w:rPr>
          <w:rFonts w:eastAsia="Calibri" w:cs="Times New Roman" w:ascii="Times New Roman" w:hAnsi="Times New Roman"/>
          <w:color w:val="auto"/>
          <w:sz w:val="24"/>
          <w:szCs w:val="24"/>
          <w:lang w:val="lt-LT"/>
        </w:rPr>
        <w:t>Sutarties projektas</w:t>
      </w:r>
      <w:r>
        <w:rPr>
          <w:rFonts w:eastAsia="Calibri" w:cs="Times New Roman" w:ascii="Times New Roman" w:hAnsi="Times New Roman"/>
          <w:color w:val="auto"/>
          <w:sz w:val="24"/>
          <w:szCs w:val="24"/>
          <w:lang w:val="lt-LT"/>
        </w:rPr>
        <w:t>“</w:t>
      </w:r>
      <w:bookmarkEnd w:id="64"/>
    </w:p>
    <w:p>
      <w:pPr>
        <w:pStyle w:val="Normal"/>
        <w:spacing w:before="0" w:after="0"/>
        <w:ind w:left="5103"/>
        <w:rPr>
          <w:rFonts w:ascii="Times New Roman" w:hAnsi="Times New Roman" w:eastAsia="Calibri" w:cs="Times New Roman"/>
          <w:color w:val="auto"/>
          <w:sz w:val="24"/>
          <w:szCs w:val="24"/>
        </w:rPr>
      </w:pPr>
      <w:r>
        <w:rPr/>
      </w:r>
    </w:p>
    <w:p>
      <w:pPr>
        <w:pStyle w:val="Normal"/>
        <w:widowControl/>
        <w:suppressAutoHyphens w:val="true"/>
        <w:bidi w:val="0"/>
        <w:spacing w:lineRule="auto" w:line="276" w:before="0" w:after="0"/>
        <w:ind w:hanging="0" w:left="89" w:right="0"/>
        <w:jc w:val="left"/>
        <w:rPr>
          <w:i/>
          <w:i/>
          <w:iCs/>
        </w:rPr>
      </w:pPr>
      <w:r>
        <w:rPr>
          <w:rFonts w:eastAsia="Calibri" w:cs="Times New Roman" w:ascii="Times New Roman" w:hAnsi="Times New Roman"/>
          <w:i/>
          <w:iCs/>
          <w:color w:val="auto"/>
          <w:sz w:val="24"/>
          <w:szCs w:val="24"/>
          <w:lang w:val="lt-LT"/>
        </w:rPr>
        <w:t>Pateikiamas atskirame dokumente</w:t>
      </w:r>
    </w:p>
    <w:sectPr>
      <w:headerReference w:type="default" r:id="rId16"/>
      <w:headerReference w:type="first" r:id="rId17"/>
      <w:footerReference w:type="default" r:id="rId18"/>
      <w:footerReference w:type="first" r:id="rId19"/>
      <w:footnotePr>
        <w:numFmt w:val="decimal"/>
      </w:footnotePr>
      <w:type w:val="nextPage"/>
      <w:pgSz w:w="12240" w:h="15840"/>
      <w:pgMar w:left="1701" w:right="567" w:gutter="0" w:header="720" w:top="1134" w:footer="720" w:bottom="1134"/>
      <w:pgNumType w:start="22" w:fmt="decimal"/>
      <w:formProt w:val="false"/>
      <w:titlePg/>
      <w:textDirection w:val="lrTb"/>
      <w:docGrid w:type="default" w:linePitch="360" w:charSpace="114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Courier New">
    <w:charset w:val="00"/>
    <w:family w:val="roman"/>
    <w:pitch w:val="variable"/>
  </w:font>
  <w:font w:name="Consolas">
    <w:charset w:val="00"/>
    <w:family w:val="roman"/>
    <w:pitch w:val="variable"/>
  </w:font>
  <w:font w:name="Helvetica Neue Medium">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4</w:t>
        </w:r>
        <w:r>
          <w:rPr/>
          <w:fldChar w:fldCharType="end"/>
        </w:r>
      </w:p>
    </w:sdtContent>
  </w:sdt>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91906774"/>
    </w:sdtPr>
    <w:sdtContent>
      <w:p>
        <w:pPr>
          <w:pStyle w:val="Footer"/>
          <w:jc w:val="right"/>
          <w:rPr/>
        </w:pPr>
        <w:r>
          <w:rPr/>
          <w:fldChar w:fldCharType="begin"/>
        </w:r>
        <w:r>
          <w:rPr/>
          <w:instrText xml:space="preserve"> PAGE </w:instrText>
        </w:r>
        <w:r>
          <w:rPr/>
          <w:fldChar w:fldCharType="separate"/>
        </w:r>
        <w:r>
          <w:rPr/>
          <w:t>42</w:t>
        </w:r>
        <w:r>
          <w:rPr/>
          <w:fldChar w:fldCharType="end"/>
        </w:r>
      </w:p>
    </w:sdtContent>
  </w:sdt>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i/>
          <w:iCs/>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2"/>
        </w:numPr>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2"/>
        </w:numPr>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3"/>
        </w:numPr>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3"/>
        </w:numPr>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4"/>
        </w:numPr>
        <w:tabs>
          <w:tab w:val="clear" w:pos="1296"/>
          <w:tab w:val="left" w:pos="284" w:leader="none"/>
        </w:tabs>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4"/>
        </w:numPr>
        <w:tabs>
          <w:tab w:val="clear" w:pos="1296"/>
          <w:tab w:val="left" w:pos="284" w:leader="none"/>
        </w:tabs>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16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val="false"/>
        <w:szCs w:val="24"/>
        <w:bCs w:val="false"/>
        <w:rFonts w:ascii="Times New Roman" w:hAnsi="Times New Roman"/>
      </w:rPr>
    </w:lvl>
    <w:lvl w:ilvl="1">
      <w:start w:val="1"/>
      <w:numFmt w:val="decimal"/>
      <w:lvlText w:val="%1.%2."/>
      <w:lvlJc w:val="left"/>
      <w:pPr>
        <w:tabs>
          <w:tab w:val="num" w:pos="0"/>
        </w:tabs>
        <w:ind w:left="360" w:hanging="360"/>
      </w:pPr>
      <w:rPr>
        <w:b w:val="false"/>
        <w:bCs w:val="false"/>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3"/>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2280" w:hanging="720"/>
      </w:pPr>
      <w:rPr>
        <w:i w:val="false"/>
        <w:b w:val="false"/>
        <w:iCs/>
        <w:bCs w:val="false"/>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0"/>
      <w:numFmt w:val="decimal"/>
      <w:lvlText w:val="%1."/>
      <w:lvlJc w:val="left"/>
      <w:pPr>
        <w:tabs>
          <w:tab w:val="num" w:pos="0"/>
        </w:tabs>
        <w:ind w:left="444" w:hanging="444"/>
      </w:pPr>
      <w:rPr>
        <w:sz w:val="24"/>
        <w:b/>
        <w:szCs w:val="24"/>
        <w:bCs/>
        <w:rFonts w:ascii="Times New Roman" w:hAnsi="Times New Roman"/>
      </w:rPr>
    </w:lvl>
    <w:lvl w:ilvl="1">
      <w:start w:val="1"/>
      <w:numFmt w:val="decimal"/>
      <w:lvlText w:val="%1.%2."/>
      <w:lvlJc w:val="left"/>
      <w:pPr>
        <w:tabs>
          <w:tab w:val="num" w:pos="0"/>
        </w:tabs>
        <w:ind w:left="1295"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7">
    <w:lvl w:ilvl="0">
      <w:start w:val="9"/>
      <w:numFmt w:val="decimal"/>
      <w:lvlText w:val="%1."/>
      <w:lvlJc w:val="left"/>
      <w:pPr>
        <w:tabs>
          <w:tab w:val="num" w:pos="0"/>
        </w:tabs>
        <w:ind w:left="360" w:hanging="360"/>
      </w:pPr>
      <w:rPr>
        <w:sz w:val="24"/>
        <w:i w:val="false"/>
        <w:szCs w:val="24"/>
        <w:rFonts w:ascii="Times New Roman" w:hAnsi="Times New Roman" w:eastAsia="" w:eastAsiaTheme="minorEastAsia"/>
        <w:color w:val="auto"/>
      </w:rPr>
    </w:lvl>
    <w:lvl w:ilvl="1">
      <w:start w:val="3"/>
      <w:numFmt w:val="decimal"/>
      <w:lvlText w:val="%1.%2."/>
      <w:lvlJc w:val="left"/>
      <w:pPr>
        <w:tabs>
          <w:tab w:val="num" w:pos="0"/>
        </w:tabs>
        <w:ind w:left="786" w:hanging="360"/>
      </w:pPr>
      <w:rPr>
        <w:i w:val="false"/>
        <w:rFonts w:eastAsia="" w:eastAsiaTheme="minorEastAsia"/>
        <w:color w:val="auto"/>
      </w:rPr>
    </w:lvl>
    <w:lvl w:ilvl="2">
      <w:start w:val="1"/>
      <w:numFmt w:val="decimal"/>
      <w:lvlText w:val="%1.%2.%3."/>
      <w:lvlJc w:val="left"/>
      <w:pPr>
        <w:tabs>
          <w:tab w:val="num" w:pos="0"/>
        </w:tabs>
        <w:ind w:left="1572" w:hanging="720"/>
      </w:pPr>
      <w:rPr>
        <w:i w:val="false"/>
        <w:rFonts w:eastAsia="" w:eastAsiaTheme="minorEastAsia"/>
        <w:color w:val="auto"/>
      </w:rPr>
    </w:lvl>
    <w:lvl w:ilvl="3">
      <w:start w:val="1"/>
      <w:numFmt w:val="decimal"/>
      <w:lvlText w:val="%1.%2.%3.%4."/>
      <w:lvlJc w:val="left"/>
      <w:pPr>
        <w:tabs>
          <w:tab w:val="num" w:pos="0"/>
        </w:tabs>
        <w:ind w:left="1998" w:hanging="720"/>
      </w:pPr>
      <w:rPr>
        <w:i w:val="false"/>
        <w:rFonts w:eastAsia="" w:eastAsiaTheme="minorEastAsia"/>
        <w:color w:val="auto"/>
      </w:rPr>
    </w:lvl>
    <w:lvl w:ilvl="4">
      <w:start w:val="1"/>
      <w:numFmt w:val="decimal"/>
      <w:lvlText w:val="%1.%2.%3.%4.%5."/>
      <w:lvlJc w:val="left"/>
      <w:pPr>
        <w:tabs>
          <w:tab w:val="num" w:pos="0"/>
        </w:tabs>
        <w:ind w:left="2784" w:hanging="1080"/>
      </w:pPr>
      <w:rPr>
        <w:i w:val="false"/>
        <w:rFonts w:eastAsia="" w:eastAsiaTheme="minorEastAsia"/>
        <w:color w:val="auto"/>
      </w:rPr>
    </w:lvl>
    <w:lvl w:ilvl="5">
      <w:start w:val="1"/>
      <w:numFmt w:val="decimal"/>
      <w:lvlText w:val="%1.%2.%3.%4.%5.%6."/>
      <w:lvlJc w:val="left"/>
      <w:pPr>
        <w:tabs>
          <w:tab w:val="num" w:pos="0"/>
        </w:tabs>
        <w:ind w:left="3210" w:hanging="1080"/>
      </w:pPr>
      <w:rPr>
        <w:i w:val="false"/>
        <w:rFonts w:eastAsia="" w:eastAsiaTheme="minorEastAsia"/>
        <w:color w:val="auto"/>
      </w:rPr>
    </w:lvl>
    <w:lvl w:ilvl="6">
      <w:start w:val="1"/>
      <w:numFmt w:val="decimal"/>
      <w:lvlText w:val="%1.%2.%3.%4.%5.%6.%7."/>
      <w:lvlJc w:val="left"/>
      <w:pPr>
        <w:tabs>
          <w:tab w:val="num" w:pos="0"/>
        </w:tabs>
        <w:ind w:left="3996" w:hanging="1440"/>
      </w:pPr>
      <w:rPr>
        <w:i w:val="false"/>
        <w:rFonts w:eastAsia="" w:eastAsiaTheme="minorEastAsia"/>
        <w:color w:val="auto"/>
      </w:rPr>
    </w:lvl>
    <w:lvl w:ilvl="7">
      <w:start w:val="1"/>
      <w:numFmt w:val="decimal"/>
      <w:lvlText w:val="%1.%2.%3.%4.%5.%6.%7.%8."/>
      <w:lvlJc w:val="left"/>
      <w:pPr>
        <w:tabs>
          <w:tab w:val="num" w:pos="0"/>
        </w:tabs>
        <w:ind w:left="4422" w:hanging="1440"/>
      </w:pPr>
      <w:rPr>
        <w:i w:val="false"/>
        <w:rFonts w:eastAsia="" w:eastAsiaTheme="minorEastAsia"/>
        <w:color w:val="auto"/>
      </w:rPr>
    </w:lvl>
    <w:lvl w:ilvl="8">
      <w:start w:val="1"/>
      <w:numFmt w:val="decimal"/>
      <w:lvlText w:val="%1.%2.%3.%4.%5.%6.%7.%8.%9."/>
      <w:lvlJc w:val="left"/>
      <w:pPr>
        <w:tabs>
          <w:tab w:val="num" w:pos="0"/>
        </w:tabs>
        <w:ind w:left="5208" w:hanging="1800"/>
      </w:pPr>
      <w:rPr>
        <w:i w:val="false"/>
        <w:rFonts w:eastAsia="" w:eastAsiaTheme="minorEastAsia"/>
        <w:color w:val="auto"/>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decimal"/>
      <w:suff w:val="space"/>
      <w:lvlText w:val="%1."/>
      <w:lvlJc w:val="left"/>
      <w:pPr>
        <w:tabs>
          <w:tab w:val="num" w:pos="0"/>
        </w:tabs>
        <w:ind w:left="0" w:hanging="0"/>
      </w:pPr>
      <w:rPr>
        <w:sz w:val="24"/>
        <w:i w:val="false"/>
        <w:b w:val="false"/>
        <w:szCs w:val="24"/>
        <w:iCs/>
        <w:bCs w:val="false"/>
        <w:rFonts w:ascii="Times New Roman" w:hAnsi="Times New Roman" w:cs="Times New Roman"/>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2">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720" w:hanging="360"/>
      </w:pPr>
      <w:rPr>
        <w:b w:val="false"/>
        <w:bCs w:val="false"/>
      </w:rPr>
    </w:lvl>
    <w:lvl w:ilvl="1">
      <w:start w:val="1"/>
      <w:numFmt w:val="decimal"/>
      <w:lvlText w:val="%1.%2."/>
      <w:lvlJc w:val="left"/>
      <w:pPr>
        <w:tabs>
          <w:tab w:val="num" w:pos="0"/>
        </w:tabs>
        <w:ind w:left="1440" w:hanging="720"/>
      </w:pPr>
      <w:rPr/>
    </w:lvl>
    <w:lvl w:ilvl="2">
      <w:start w:val="1"/>
      <w:numFmt w:val="decimal"/>
      <w:lvlText w:val="%1.%2.%3."/>
      <w:lvlJc w:val="left"/>
      <w:pPr>
        <w:tabs>
          <w:tab w:val="num" w:pos="0"/>
        </w:tabs>
        <w:ind w:left="2160" w:hanging="1080"/>
      </w:pPr>
      <w:rPr/>
    </w:lvl>
    <w:lvl w:ilvl="3">
      <w:start w:val="1"/>
      <w:numFmt w:val="decimal"/>
      <w:lvlText w:val="%1.%2.%3.%4."/>
      <w:lvlJc w:val="left"/>
      <w:pPr>
        <w:tabs>
          <w:tab w:val="num" w:pos="0"/>
        </w:tabs>
        <w:ind w:left="2520" w:hanging="1080"/>
      </w:pPr>
      <w:rPr/>
    </w:lvl>
    <w:lvl w:ilvl="4">
      <w:start w:val="1"/>
      <w:numFmt w:val="decimal"/>
      <w:lvlText w:val="%1.%2.%3.%4.%5."/>
      <w:lvlJc w:val="left"/>
      <w:pPr>
        <w:tabs>
          <w:tab w:val="num" w:pos="0"/>
        </w:tabs>
        <w:ind w:left="3240" w:hanging="1440"/>
      </w:pPr>
      <w:rPr/>
    </w:lvl>
    <w:lvl w:ilvl="5">
      <w:start w:val="1"/>
      <w:numFmt w:val="decimal"/>
      <w:lvlText w:val="%1.%2.%3.%4.%5.%6."/>
      <w:lvlJc w:val="left"/>
      <w:pPr>
        <w:tabs>
          <w:tab w:val="num" w:pos="0"/>
        </w:tabs>
        <w:ind w:left="3960" w:hanging="1800"/>
      </w:pPr>
      <w:rPr/>
    </w:lvl>
    <w:lvl w:ilvl="6">
      <w:start w:val="1"/>
      <w:numFmt w:val="decimal"/>
      <w:lvlText w:val="%1.%2.%3.%4.%5.%6.%7."/>
      <w:lvlJc w:val="left"/>
      <w:pPr>
        <w:tabs>
          <w:tab w:val="num" w:pos="0"/>
        </w:tabs>
        <w:ind w:left="4680" w:hanging="2160"/>
      </w:pPr>
      <w:rPr/>
    </w:lvl>
    <w:lvl w:ilvl="7">
      <w:start w:val="1"/>
      <w:numFmt w:val="decimal"/>
      <w:lvlText w:val="%1.%2.%3.%4.%5.%6.%7.%8."/>
      <w:lvlJc w:val="left"/>
      <w:pPr>
        <w:tabs>
          <w:tab w:val="num" w:pos="0"/>
        </w:tabs>
        <w:ind w:left="5040" w:hanging="2160"/>
      </w:pPr>
      <w:rPr/>
    </w:lvl>
    <w:lvl w:ilvl="8">
      <w:start w:val="1"/>
      <w:numFmt w:val="decimal"/>
      <w:lvlText w:val="%1.%2.%3.%4.%5.%6.%7.%8.%9."/>
      <w:lvlJc w:val="left"/>
      <w:pPr>
        <w:tabs>
          <w:tab w:val="num" w:pos="0"/>
        </w:tabs>
        <w:ind w:left="5760" w:hanging="2520"/>
      </w:pPr>
      <w:rPr/>
    </w:lvl>
  </w:abstractNum>
  <w:abstractNum w:abstractNumId="16">
    <w:lvl w:ilvl="0">
      <w:start w:val="2"/>
      <w:numFmt w:val="decimal"/>
      <w:lvlText w:val="%1."/>
      <w:lvlJc w:val="left"/>
      <w:pPr>
        <w:tabs>
          <w:tab w:val="num" w:pos="0"/>
        </w:tabs>
        <w:ind w:left="360" w:hanging="360"/>
      </w:pPr>
      <w:rPr>
        <w:rFonts w:eastAsia="Calibri"/>
        <w:color w:themeColor="text1" w:val="000000"/>
      </w:rPr>
    </w:lvl>
    <w:lvl w:ilvl="1">
      <w:start w:val="1"/>
      <w:numFmt w:val="decimal"/>
      <w:lvlText w:val="%1.%2."/>
      <w:lvlJc w:val="left"/>
      <w:pPr>
        <w:tabs>
          <w:tab w:val="num" w:pos="0"/>
        </w:tabs>
        <w:ind w:left="927" w:hanging="360"/>
      </w:pPr>
      <w:rPr>
        <w:rFonts w:eastAsia="Calibri"/>
        <w:color w:themeColor="text1" w:val="000000"/>
      </w:rPr>
    </w:lvl>
    <w:lvl w:ilvl="2">
      <w:start w:val="1"/>
      <w:numFmt w:val="decimal"/>
      <w:lvlText w:val="%1.%2.%3."/>
      <w:lvlJc w:val="left"/>
      <w:pPr>
        <w:tabs>
          <w:tab w:val="num" w:pos="0"/>
        </w:tabs>
        <w:ind w:left="1854" w:hanging="720"/>
      </w:pPr>
      <w:rPr>
        <w:rFonts w:eastAsia="Calibri"/>
        <w:color w:themeColor="text1" w:val="000000"/>
      </w:rPr>
    </w:lvl>
    <w:lvl w:ilvl="3">
      <w:start w:val="1"/>
      <w:numFmt w:val="decimal"/>
      <w:lvlText w:val="%1.%2.%3.%4."/>
      <w:lvlJc w:val="left"/>
      <w:pPr>
        <w:tabs>
          <w:tab w:val="num" w:pos="0"/>
        </w:tabs>
        <w:ind w:left="2421" w:hanging="720"/>
      </w:pPr>
      <w:rPr>
        <w:rFonts w:eastAsia="Calibri"/>
        <w:color w:themeColor="text1" w:val="000000"/>
      </w:rPr>
    </w:lvl>
    <w:lvl w:ilvl="4">
      <w:start w:val="1"/>
      <w:numFmt w:val="decimal"/>
      <w:lvlText w:val="%1.%2.%3.%4.%5."/>
      <w:lvlJc w:val="left"/>
      <w:pPr>
        <w:tabs>
          <w:tab w:val="num" w:pos="0"/>
        </w:tabs>
        <w:ind w:left="3348" w:hanging="1080"/>
      </w:pPr>
      <w:rPr>
        <w:rFonts w:eastAsia="Calibri"/>
        <w:color w:themeColor="text1" w:val="000000"/>
      </w:rPr>
    </w:lvl>
    <w:lvl w:ilvl="5">
      <w:start w:val="1"/>
      <w:numFmt w:val="decimal"/>
      <w:lvlText w:val="%1.%2.%3.%4.%5.%6."/>
      <w:lvlJc w:val="left"/>
      <w:pPr>
        <w:tabs>
          <w:tab w:val="num" w:pos="0"/>
        </w:tabs>
        <w:ind w:left="3915" w:hanging="1080"/>
      </w:pPr>
      <w:rPr>
        <w:rFonts w:eastAsia="Calibri"/>
        <w:color w:themeColor="text1" w:val="000000"/>
      </w:rPr>
    </w:lvl>
    <w:lvl w:ilvl="6">
      <w:start w:val="1"/>
      <w:numFmt w:val="decimal"/>
      <w:lvlText w:val="%1.%2.%3.%4.%5.%6.%7."/>
      <w:lvlJc w:val="left"/>
      <w:pPr>
        <w:tabs>
          <w:tab w:val="num" w:pos="0"/>
        </w:tabs>
        <w:ind w:left="4842" w:hanging="1440"/>
      </w:pPr>
      <w:rPr>
        <w:rFonts w:eastAsia="Calibri"/>
        <w:color w:themeColor="text1" w:val="000000"/>
      </w:rPr>
    </w:lvl>
    <w:lvl w:ilvl="7">
      <w:start w:val="1"/>
      <w:numFmt w:val="decimal"/>
      <w:lvlText w:val="%1.%2.%3.%4.%5.%6.%7.%8."/>
      <w:lvlJc w:val="left"/>
      <w:pPr>
        <w:tabs>
          <w:tab w:val="num" w:pos="0"/>
        </w:tabs>
        <w:ind w:left="5409" w:hanging="1440"/>
      </w:pPr>
      <w:rPr>
        <w:rFonts w:eastAsia="Calibri"/>
        <w:color w:themeColor="text1" w:val="000000"/>
      </w:rPr>
    </w:lvl>
    <w:lvl w:ilvl="8">
      <w:start w:val="1"/>
      <w:numFmt w:val="decimal"/>
      <w:lvlText w:val="%1.%2.%3.%4.%5.%6.%7.%8.%9."/>
      <w:lvlJc w:val="left"/>
      <w:pPr>
        <w:tabs>
          <w:tab w:val="num" w:pos="0"/>
        </w:tabs>
        <w:ind w:left="6336" w:hanging="1800"/>
      </w:pPr>
      <w:rPr>
        <w:rFonts w:eastAsia="Calibri"/>
        <w:color w:themeColor="text1" w:val="000000"/>
      </w:rPr>
    </w:lvl>
  </w:abstractNum>
  <w:abstractNum w:abstractNumId="17">
    <w:lvl w:ilvl="0">
      <w:start w:val="7"/>
      <w:numFmt w:val="decimal"/>
      <w:lvlText w:val="%1."/>
      <w:lvlJc w:val="left"/>
      <w:pPr>
        <w:tabs>
          <w:tab w:val="num" w:pos="0"/>
        </w:tabs>
        <w:ind w:left="510" w:hanging="510"/>
      </w:pPr>
      <w:rPr>
        <w:sz w:val="24"/>
        <w:szCs w:val="24"/>
        <w:rFonts w:ascii="Times New Roman" w:hAnsi="Times New Roman"/>
      </w:rPr>
    </w:lvl>
    <w:lvl w:ilvl="1">
      <w:start w:val="1"/>
      <w:numFmt w:val="decimal"/>
      <w:lvlText w:val="%1.%2."/>
      <w:lvlJc w:val="left"/>
      <w:pPr>
        <w:tabs>
          <w:tab w:val="num" w:pos="0"/>
        </w:tabs>
        <w:ind w:left="870" w:hanging="510"/>
      </w:pPr>
      <w:rPr/>
    </w:lvl>
    <w:lvl w:ilvl="2">
      <w:start w:val="1"/>
      <w:numFmt w:val="decimal"/>
      <w:lvlText w:val="%1.%2.%3."/>
      <w:lvlJc w:val="left"/>
      <w:pPr>
        <w:tabs>
          <w:tab w:val="num" w:pos="0"/>
        </w:tabs>
        <w:ind w:left="2989"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18">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19">
    <w:lvl w:ilvl="0">
      <w:start w:val="6"/>
      <w:numFmt w:val="decimal"/>
      <w:lvlText w:val="%1."/>
      <w:lvlJc w:val="left"/>
      <w:pPr>
        <w:tabs>
          <w:tab w:val="num" w:pos="0"/>
        </w:tabs>
        <w:ind w:left="360" w:hanging="360"/>
      </w:pPr>
      <w:rPr>
        <w:sz w:val="24"/>
        <w:szCs w:val="24"/>
        <w:rFonts w:ascii="Times New Roman" w:hAnsi="Times New Roman" w:eastAsia="Arial"/>
      </w:rPr>
    </w:lvl>
    <w:lvl w:ilvl="1">
      <w:start w:val="4"/>
      <w:numFmt w:val="decimal"/>
      <w:lvlText w:val="%1.%2."/>
      <w:lvlJc w:val="left"/>
      <w:pPr>
        <w:tabs>
          <w:tab w:val="num" w:pos="0"/>
        </w:tabs>
        <w:ind w:left="786" w:hanging="360"/>
      </w:pPr>
      <w:rPr>
        <w:rFonts w:eastAsia="Arial"/>
      </w:rPr>
    </w:lvl>
    <w:lvl w:ilvl="2">
      <w:start w:val="1"/>
      <w:numFmt w:val="decimal"/>
      <w:lvlText w:val="%1.%2.%3."/>
      <w:lvlJc w:val="left"/>
      <w:pPr>
        <w:tabs>
          <w:tab w:val="num" w:pos="0"/>
        </w:tabs>
        <w:ind w:left="1572" w:hanging="720"/>
      </w:pPr>
      <w:rPr>
        <w:rFonts w:eastAsia="Arial"/>
      </w:rPr>
    </w:lvl>
    <w:lvl w:ilvl="3">
      <w:start w:val="1"/>
      <w:numFmt w:val="decimal"/>
      <w:lvlText w:val="%1.%2.%3.%4."/>
      <w:lvlJc w:val="left"/>
      <w:pPr>
        <w:tabs>
          <w:tab w:val="num" w:pos="0"/>
        </w:tabs>
        <w:ind w:left="1998" w:hanging="720"/>
      </w:pPr>
      <w:rPr>
        <w:rFonts w:eastAsia="Arial"/>
      </w:rPr>
    </w:lvl>
    <w:lvl w:ilvl="4">
      <w:start w:val="1"/>
      <w:numFmt w:val="decimal"/>
      <w:lvlText w:val="%1.%2.%3.%4.%5."/>
      <w:lvlJc w:val="left"/>
      <w:pPr>
        <w:tabs>
          <w:tab w:val="num" w:pos="0"/>
        </w:tabs>
        <w:ind w:left="2784" w:hanging="1080"/>
      </w:pPr>
      <w:rPr>
        <w:rFonts w:eastAsia="Arial"/>
      </w:rPr>
    </w:lvl>
    <w:lvl w:ilvl="5">
      <w:start w:val="1"/>
      <w:numFmt w:val="decimal"/>
      <w:lvlText w:val="%1.%2.%3.%4.%5.%6."/>
      <w:lvlJc w:val="left"/>
      <w:pPr>
        <w:tabs>
          <w:tab w:val="num" w:pos="0"/>
        </w:tabs>
        <w:ind w:left="3210" w:hanging="1080"/>
      </w:pPr>
      <w:rPr>
        <w:rFonts w:eastAsia="Arial"/>
      </w:rPr>
    </w:lvl>
    <w:lvl w:ilvl="6">
      <w:start w:val="1"/>
      <w:numFmt w:val="decimal"/>
      <w:lvlText w:val="%1.%2.%3.%4.%5.%6.%7."/>
      <w:lvlJc w:val="left"/>
      <w:pPr>
        <w:tabs>
          <w:tab w:val="num" w:pos="0"/>
        </w:tabs>
        <w:ind w:left="3996" w:hanging="1440"/>
      </w:pPr>
      <w:rPr>
        <w:rFonts w:eastAsia="Arial"/>
      </w:rPr>
    </w:lvl>
    <w:lvl w:ilvl="7">
      <w:start w:val="1"/>
      <w:numFmt w:val="decimal"/>
      <w:lvlText w:val="%1.%2.%3.%4.%5.%6.%7.%8."/>
      <w:lvlJc w:val="left"/>
      <w:pPr>
        <w:tabs>
          <w:tab w:val="num" w:pos="0"/>
        </w:tabs>
        <w:ind w:left="4422" w:hanging="1440"/>
      </w:pPr>
      <w:rPr>
        <w:rFonts w:eastAsia="Arial"/>
      </w:rPr>
    </w:lvl>
    <w:lvl w:ilvl="8">
      <w:start w:val="1"/>
      <w:numFmt w:val="decimal"/>
      <w:lvlText w:val="%1.%2.%3.%4.%5.%6.%7.%8.%9."/>
      <w:lvlJc w:val="left"/>
      <w:pPr>
        <w:tabs>
          <w:tab w:val="num" w:pos="0"/>
        </w:tabs>
        <w:ind w:left="5208" w:hanging="1800"/>
      </w:pPr>
      <w:rPr>
        <w:rFonts w:eastAsia="Arial"/>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a0e2a"/>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Heading1Char"/>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d05666"/>
    <w:rPr>
      <w:rFonts w:ascii="Times New Roman" w:hAnsi="Times New Roman"/>
      <w:sz w:val="20"/>
      <w:szCs w:val="20"/>
      <w:lang w:eastAsia="en-US"/>
    </w:rPr>
  </w:style>
  <w:style w:type="character" w:styleId="CommentTextChar" w:customStyle="1">
    <w:name w:val="Comment Text Char"/>
    <w:basedOn w:val="DefaultParagraphFont"/>
    <w:link w:val="Annotationtext"/>
    <w:uiPriority w:val="99"/>
    <w:qFormat/>
    <w:rsid w:val="00d05666"/>
    <w:rPr>
      <w:rFonts w:ascii="Times New Roman" w:hAnsi="Times New Roman"/>
      <w:sz w:val="20"/>
      <w:szCs w:val="20"/>
      <w:lang w:eastAsia="en-US"/>
    </w:rPr>
  </w:style>
  <w:style w:type="character" w:styleId="SubtitleChar" w:customStyle="1">
    <w:name w:val="Subtitle Char"/>
    <w:basedOn w:val="DefaultParagraphFont"/>
    <w:link w:val="Subtitle"/>
    <w:uiPriority w:val="99"/>
    <w:qFormat/>
    <w:rsid w:val="00eb164f"/>
    <w:rPr>
      <w:caps/>
      <w:color w:themeColor="text1" w:themeTint="bf" w:val="404040"/>
      <w:spacing w:val="20"/>
      <w:sz w:val="28"/>
      <w:szCs w:val="28"/>
    </w:rPr>
  </w:style>
  <w:style w:type="character" w:styleId="ListParagraphChar" w:customStyle="1">
    <w:name w:val="List Paragraph Char"/>
    <w:basedOn w:val="DefaultParagraphFont"/>
    <w:link w:val="ListParagraph"/>
    <w:uiPriority w:val="34"/>
    <w:qFormat/>
    <w:locked/>
    <w:rsid w:val="00d05666"/>
    <w:rPr/>
  </w:style>
  <w:style w:type="character" w:styleId="FootnoteCharacters" w:customStyle="1">
    <w:name w:val="Footnote Characters"/>
    <w:uiPriority w:val="99"/>
    <w:unhideWhenUsed/>
    <w:qFormat/>
    <w:rsid w:val="00d27e4c"/>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qFormat/>
    <w:rsid w:val="002e3c32"/>
    <w:rPr>
      <w:color w:val="808080"/>
      <w:shd w:fill="E6E6E6" w:val="clear"/>
    </w:rPr>
  </w:style>
  <w:style w:type="character" w:styleId="CommentSubjectChar" w:customStyle="1">
    <w:name w:val="Comment Subject Char"/>
    <w:basedOn w:val="CommentTextChar"/>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BodyTextChar" w:customStyle="1">
    <w:name w:val="Body Text Char"/>
    <w:basedOn w:val="DefaultParagraphFon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link w:val="Header"/>
    <w:uiPriority w:val="99"/>
    <w:qFormat/>
    <w:rsid w:val="00f560b4"/>
    <w:rPr>
      <w:rFonts w:ascii="Times New Roman" w:hAnsi="Times New Roman"/>
      <w:sz w:val="24"/>
      <w:szCs w:val="24"/>
      <w:lang w:eastAsia="en-US"/>
    </w:rPr>
  </w:style>
  <w:style w:type="character" w:styleId="FooterChar" w:customStyle="1">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Heading2Char" w:customStyle="1">
    <w:name w:val="Heading 2 Char"/>
    <w:basedOn w:val="DefaultParagraphFont"/>
    <w:link w:val="Heading2"/>
    <w:uiPriority w:val="9"/>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link w:val="Heading3"/>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link w:val="Heading4"/>
    <w:uiPriority w:val="9"/>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link w:val="Heading5"/>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link w:val="Heading6"/>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link w:val="Heading7"/>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link w:val="Heading8"/>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link w:val="Heading9"/>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link w:val="Title"/>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QuoteChar" w:customStyle="1">
    <w:name w:val="Quote Char"/>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NoSpacingChar" w:customStyle="1">
    <w:name w:val="No Spacing Char"/>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EndnoteTextChar" w:customStyle="1">
    <w:name w:val="Endnote Text Char"/>
    <w:basedOn w:val="DefaultParagraphFont"/>
    <w:link w:val="EndnoteText"/>
    <w:uiPriority w:val="99"/>
    <w:semiHidden/>
    <w:qFormat/>
    <w:rsid w:val="00482bc0"/>
    <w:rPr>
      <w:sz w:val="20"/>
      <w:szCs w:val="20"/>
    </w:rPr>
  </w:style>
  <w:style w:type="character" w:styleId="EndnoteCharacters" w:customStyle="1">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Mention">
    <w:name w:val="Mention"/>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UnresolvedMention1" w:customStyle="1">
    <w:name w:val="Unresolved Mention1"/>
    <w:basedOn w:val="DefaultParagraphFont"/>
    <w:uiPriority w:val="99"/>
    <w:semiHidden/>
    <w:unhideWhenUsed/>
    <w:qFormat/>
    <w:rsid w:val="004f660e"/>
    <w:rPr>
      <w:color w:val="808080"/>
      <w:shd w:fill="E6E6E6" w:val="clear"/>
    </w:rPr>
  </w:style>
  <w:style w:type="character" w:styleId="Normaltextrun" w:customStyle="1">
    <w:name w:val="normaltextrun"/>
    <w:basedOn w:val="DefaultParagraphFont"/>
    <w:qFormat/>
    <w:rsid w:val="004f660e"/>
    <w:rPr/>
  </w:style>
  <w:style w:type="character" w:styleId="Apple-converted-space" w:customStyle="1">
    <w:name w:val="apple-converted-space"/>
    <w:basedOn w:val="DefaultParagraphFont"/>
    <w:qFormat/>
    <w:rsid w:val="004f660e"/>
    <w:rPr/>
  </w:style>
  <w:style w:type="character" w:styleId="PlainTextChar" w:customStyle="1">
    <w:name w:val="Plain Text Char"/>
    <w:link w:val="PlainText"/>
    <w:semiHidden/>
    <w:qFormat/>
    <w:locked/>
    <w:rsid w:val="004f660e"/>
    <w:rPr>
      <w:rFonts w:ascii="Courier New" w:hAnsi="Courier New" w:cs="Courier New"/>
    </w:rPr>
  </w:style>
  <w:style w:type="character" w:styleId="PlainTextChar1" w:customStyle="1">
    <w:name w:val="Plain Text Char1"/>
    <w:basedOn w:val="DefaultParagraphFont"/>
    <w:uiPriority w:val="99"/>
    <w:semiHidden/>
    <w:qFormat/>
    <w:rsid w:val="004f660e"/>
    <w:rPr>
      <w:rFonts w:ascii="Consolas" w:hAnsi="Consolas"/>
    </w:rPr>
  </w:style>
  <w:style w:type="character" w:styleId="PaprastasistekstasDiagrama1" w:customStyle="1">
    <w:name w:val="Paprastasis tekstas Diagrama1"/>
    <w:basedOn w:val="DefaultParagraphFont"/>
    <w:uiPriority w:val="99"/>
    <w:semiHidden/>
    <w:qFormat/>
    <w:rsid w:val="004f660e"/>
    <w:rPr>
      <w:rFonts w:ascii="Consolas" w:hAnsi="Consolas"/>
      <w:sz w:val="21"/>
      <w:szCs w:val="21"/>
    </w:rPr>
  </w:style>
  <w:style w:type="character" w:styleId="Neapdorotaspaminjimas1" w:customStyle="1">
    <w:name w:val="Neapdorotas paminėjimas1"/>
    <w:basedOn w:val="DefaultParagraphFont"/>
    <w:uiPriority w:val="99"/>
    <w:semiHidden/>
    <w:unhideWhenUsed/>
    <w:qFormat/>
    <w:rsid w:val="004f660e"/>
    <w:rPr>
      <w:color w:val="605E5C"/>
      <w:shd w:fill="E1DFDD" w:val="clear"/>
    </w:rPr>
  </w:style>
  <w:style w:type="character" w:styleId="Neapdorotaspaminjimas2" w:customStyle="1">
    <w:name w:val="Neapdorotas paminėjimas2"/>
    <w:basedOn w:val="DefaultParagraphFont"/>
    <w:uiPriority w:val="99"/>
    <w:semiHidden/>
    <w:unhideWhenUsed/>
    <w:qFormat/>
    <w:rsid w:val="004f660e"/>
    <w:rPr>
      <w:color w:val="605E5C"/>
      <w:shd w:fill="E1DFDD" w:val="clear"/>
    </w:rPr>
  </w:style>
  <w:style w:type="character" w:styleId="UnresolvedMention2" w:customStyle="1">
    <w:name w:val="Unresolved Mention2"/>
    <w:basedOn w:val="DefaultParagraphFont"/>
    <w:uiPriority w:val="99"/>
    <w:semiHidden/>
    <w:unhideWhenUsed/>
    <w:qFormat/>
    <w:rsid w:val="004f660e"/>
    <w:rPr>
      <w:color w:val="605E5C"/>
      <w:shd w:fill="E1DFDD" w:val="clear"/>
    </w:rPr>
  </w:style>
  <w:style w:type="character" w:styleId="HeaderChar1" w:customStyle="1">
    <w:name w:val="Header Char1"/>
    <w:basedOn w:val="DefaultParagraphFont"/>
    <w:uiPriority w:val="99"/>
    <w:semiHidden/>
    <w:qFormat/>
    <w:rsid w:val="004f660e"/>
    <w:rPr/>
  </w:style>
  <w:style w:type="character" w:styleId="FooterChar1" w:customStyle="1">
    <w:name w:val="Footer Char1"/>
    <w:basedOn w:val="DefaultParagraphFont"/>
    <w:uiPriority w:val="99"/>
    <w:semiHidden/>
    <w:qFormat/>
    <w:rsid w:val="004f660e"/>
    <w:rPr/>
  </w:style>
  <w:style w:type="character" w:styleId="Has-inline-color" w:customStyle="1">
    <w:name w:val="has-inline-color"/>
    <w:basedOn w:val="DefaultParagraphFont"/>
    <w:qFormat/>
    <w:rsid w:val="004f660e"/>
    <w:rPr/>
  </w:style>
  <w:style w:type="character" w:styleId="Xcontentpasted0" w:customStyle="1">
    <w:name w:val="x_contentpasted0"/>
    <w:basedOn w:val="DefaultParagraphFont"/>
    <w:qFormat/>
    <w:rsid w:val="004f660e"/>
    <w:rPr/>
  </w:style>
  <w:style w:type="character" w:styleId="Eop" w:customStyle="1">
    <w:name w:val="eop"/>
    <w:basedOn w:val="DefaultParagraphFont"/>
    <w:qFormat/>
    <w:rsid w:val="004f660e"/>
    <w:rPr/>
  </w:style>
  <w:style w:type="character" w:styleId="Spellingerror" w:customStyle="1">
    <w:name w:val="spellingerror"/>
    <w:basedOn w:val="DefaultParagraphFont"/>
    <w:qFormat/>
    <w:rsid w:val="004f660e"/>
    <w:rPr/>
  </w:style>
  <w:style w:type="character" w:styleId="UnresolvedMention3" w:customStyle="1">
    <w:name w:val="Unresolved Mention3"/>
    <w:basedOn w:val="DefaultParagraphFont"/>
    <w:uiPriority w:val="99"/>
    <w:semiHidden/>
    <w:unhideWhenUsed/>
    <w:qFormat/>
    <w:rsid w:val="004f660e"/>
    <w:rPr>
      <w:color w:val="605E5C"/>
      <w:shd w:fill="E1DFDD" w:val="clear"/>
    </w:rPr>
  </w:style>
  <w:style w:type="character" w:styleId="UnresolvedMention4" w:customStyle="1">
    <w:name w:val="Unresolved Mention4"/>
    <w:basedOn w:val="DefaultParagraphFont"/>
    <w:uiPriority w:val="99"/>
    <w:semiHidden/>
    <w:unhideWhenUsed/>
    <w:qFormat/>
    <w:rsid w:val="004f660e"/>
    <w:rPr>
      <w:color w:val="605E5C"/>
      <w:shd w:fill="E1DFDD" w:val="clear"/>
    </w:rPr>
  </w:style>
  <w:style w:type="character" w:styleId="BodyTextIndentChar" w:customStyle="1">
    <w:name w:val="Body Text Indent Char"/>
    <w:basedOn w:val="DefaultParagraphFont"/>
    <w:uiPriority w:val="99"/>
    <w:semiHidden/>
    <w:qFormat/>
    <w:rsid w:val="004f660e"/>
    <w:rPr>
      <w:rFonts w:eastAsia="Calibri" w:eastAsiaTheme="minorHAnsi"/>
      <w:sz w:val="22"/>
      <w:szCs w:val="22"/>
      <w:lang w:eastAsia="en-US"/>
    </w:rPr>
  </w:style>
  <w:style w:type="character" w:styleId="UnresolvedMention5" w:customStyle="1">
    <w:name w:val="Unresolved Mention5"/>
    <w:basedOn w:val="DefaultParagraphFont"/>
    <w:uiPriority w:val="99"/>
    <w:semiHidden/>
    <w:unhideWhenUsed/>
    <w:qFormat/>
    <w:rsid w:val="004f660e"/>
    <w:rPr>
      <w:color w:val="605E5C"/>
      <w:shd w:fill="E1DFDD" w:val="clear"/>
    </w:rPr>
  </w:style>
  <w:style w:type="character" w:styleId="UnresolvedMention6" w:customStyle="1">
    <w:name w:val="Unresolved Mention6"/>
    <w:basedOn w:val="DefaultParagraphFont"/>
    <w:uiPriority w:val="99"/>
    <w:semiHidden/>
    <w:unhideWhenUsed/>
    <w:qFormat/>
    <w:rsid w:val="004f660e"/>
    <w:rPr>
      <w:color w:val="605E5C"/>
      <w:shd w:fill="E1DFDD" w:val="clear"/>
    </w:rPr>
  </w:style>
  <w:style w:type="character" w:styleId="Markedcontent" w:customStyle="1">
    <w:name w:val="markedcontent"/>
    <w:basedOn w:val="DefaultParagraphFont"/>
    <w:qFormat/>
    <w:rsid w:val="004f660e"/>
    <w:rPr/>
  </w:style>
  <w:style w:type="character" w:styleId="Normal-h" w:customStyle="1">
    <w:name w:val="normal-h"/>
    <w:basedOn w:val="DefaultParagraphFont"/>
    <w:qFormat/>
    <w:rsid w:val="004f660e"/>
    <w:rPr/>
  </w:style>
  <w:style w:type="character" w:styleId="IndexLink" w:customStyle="1">
    <w:name w:val="Index Link"/>
    <w:qFormat/>
    <w:rPr/>
  </w:style>
  <w:style w:type="paragraph" w:styleId="Heading" w:customStyle="1">
    <w:name w:val="Heading"/>
    <w:next w:val="Body2"/>
    <w:qFormat/>
    <w:rsid w:val="00072fe6"/>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uiPriority w:val="99"/>
    <w:qFormat/>
    <w:rsid w:val="00fa144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FootnoteText">
    <w:name w:val="Footnote Text"/>
    <w:basedOn w:val="Normal"/>
    <w:link w:val="FootnoteTextChar"/>
    <w:uiPriority w:val="99"/>
    <w:unhideWhenUsed/>
    <w:rsid w:val="00d05666"/>
    <w:pPr/>
    <w:rPr>
      <w:sz w:val="20"/>
      <w:szCs w:val="20"/>
    </w:rPr>
  </w:style>
  <w:style w:type="paragraph" w:styleId="Annotationtext">
    <w:name w:val="annotation text"/>
    <w:basedOn w:val="Normal"/>
    <w:link w:val="CommentTextChar"/>
    <w:uiPriority w:val="99"/>
    <w:unhideWhenUsed/>
    <w:qFormat/>
    <w:rsid w:val="00d05666"/>
    <w:pPr/>
    <w:rPr>
      <w:sz w:val="20"/>
      <w:szCs w:val="20"/>
    </w:rPr>
  </w:style>
  <w:style w:type="paragraph" w:styleId="Subtitle">
    <w:name w:val="Subtitle"/>
    <w:basedOn w:val="Normal"/>
    <w:next w:val="Normal"/>
    <w:link w:val="SubtitleChar"/>
    <w:uiPriority w:val="99"/>
    <w:qFormat/>
    <w:rsid w:val="00eb164f"/>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1c4f12"/>
    <w:pPr>
      <w:spacing w:before="0" w:after="160"/>
      <w:ind w:left="720"/>
      <w:contextualSpacing/>
    </w:pPr>
    <w:rPr/>
  </w:style>
  <w:style w:type="paragraph" w:styleId="BalloonText">
    <w:name w:val="Balloon Text"/>
    <w:basedOn w:val="Normal"/>
    <w:link w:val="BalloonTextChar"/>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f560b4"/>
    <w:pPr>
      <w:tabs>
        <w:tab w:val="clear" w:pos="1296"/>
        <w:tab w:val="center" w:pos="4513" w:leader="none"/>
        <w:tab w:val="right" w:pos="9026" w:leader="none"/>
      </w:tabs>
    </w:pPr>
    <w:rPr/>
  </w:style>
  <w:style w:type="paragraph" w:styleId="Footer">
    <w:name w:val="Footer"/>
    <w:basedOn w:val="Normal"/>
    <w:link w:val="FooterChar"/>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1" w:customStyle="1">
    <w:name w:val="caption11"/>
    <w:basedOn w:val="Normal"/>
    <w:next w:val="Normal"/>
    <w:uiPriority w:val="35"/>
    <w:semiHidden/>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eb164f"/>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QuoteChar"/>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name w:val="index heading1"/>
    <w:basedOn w:val="Heading"/>
    <w:qFormat/>
    <w:pPr/>
    <w:rPr/>
  </w:style>
  <w:style w:type="paragraph" w:styleId="IndexHeading">
    <w:name w:val="Index Heading"/>
    <w:basedOn w:val="Heading"/>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7e0a9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1296"/>
        <w:tab w:val="right" w:pos="9962" w:leader="dot"/>
      </w:tabs>
      <w:spacing w:before="0" w:after="0"/>
      <w:ind w:left="220"/>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EndnoteTextChar"/>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lineRule="auto" w:line="480" w:before="0" w:after="120"/>
      <w:ind w:left="283"/>
    </w:pPr>
    <w:rPr/>
  </w:style>
  <w:style w:type="paragraph" w:styleId="Xl66" w:customStyle="1">
    <w:name w:val="xl66"/>
    <w:basedOn w:val="Normal"/>
    <w:qFormat/>
    <w:rsid w:val="004f660e"/>
    <w:pPr>
      <w:pBdr>
        <w:top w:val="single" w:sz="4" w:space="0" w:color="000000"/>
        <w:left w:val="single" w:sz="4" w:space="0" w:color="000000"/>
        <w:right w:val="single" w:sz="4" w:space="0" w:color="000000"/>
      </w:pBdr>
      <w:spacing w:lineRule="auto" w:line="240" w:beforeAutospacing="1" w:afterAutospacing="1"/>
    </w:pPr>
    <w:rPr>
      <w:rFonts w:ascii="Times New Roman" w:hAnsi="Times New Roman" w:eastAsia="Times New Roman" w:cs="Times New Roman"/>
      <w:sz w:val="12"/>
      <w:szCs w:val="12"/>
    </w:rPr>
  </w:style>
  <w:style w:type="paragraph" w:styleId="HeaderFooter" w:customStyle="1">
    <w:name w:val="Header &amp; Footer"/>
    <w:qFormat/>
    <w:rsid w:val="004f660e"/>
    <w:pPr>
      <w:widowControl/>
      <w:tabs>
        <w:tab w:val="clear" w:pos="1296"/>
        <w:tab w:val="right" w:pos="9020" w:leader="none"/>
      </w:tabs>
      <w:suppressAutoHyphens w:val="true"/>
      <w:bidi w:val="0"/>
      <w:spacing w:lineRule="auto" w:line="288" w:before="0" w:after="0"/>
      <w:jc w:val="left"/>
    </w:pPr>
    <w:rPr>
      <w:rFonts w:ascii="Helvetica Neue Medium" w:hAnsi="Helvetica Neue Medium" w:eastAsia="Arial Unicode MS" w:cs="Arial Unicode MS"/>
      <w:color w:val="606060"/>
      <w:kern w:val="0"/>
      <w:sz w:val="20"/>
      <w:szCs w:val="20"/>
      <w:lang w:val="lt-LT" w:eastAsia="lt-LT" w:bidi="ar-SA"/>
    </w:rPr>
  </w:style>
  <w:style w:type="paragraph" w:styleId="PlainText">
    <w:name w:val="Plain Text"/>
    <w:basedOn w:val="Normal"/>
    <w:link w:val="PlainTextChar"/>
    <w:semiHidden/>
    <w:qFormat/>
    <w:rsid w:val="004f660e"/>
    <w:pPr>
      <w:spacing w:lineRule="auto" w:line="240" w:before="0" w:after="0"/>
    </w:pPr>
    <w:rPr>
      <w:rFonts w:ascii="Courier New" w:hAnsi="Courier New" w:cs="Courier New"/>
    </w:rPr>
  </w:style>
  <w:style w:type="paragraph" w:styleId="Default" w:customStyle="1">
    <w:name w:val="Default"/>
    <w:qFormat/>
    <w:rsid w:val="004f660e"/>
    <w:pPr>
      <w:widowControl/>
      <w:suppressAutoHyphens w:val="true"/>
      <w:bidi w:val="0"/>
      <w:spacing w:before="0" w:after="0"/>
      <w:jc w:val="left"/>
    </w:pPr>
    <w:rPr>
      <w:rFonts w:ascii="Times New Roman" w:hAnsi="Times New Roman" w:eastAsia="" w:cs="Times New Roman"/>
      <w:color w:val="000000"/>
      <w:kern w:val="0"/>
      <w:sz w:val="24"/>
      <w:szCs w:val="24"/>
      <w:lang w:val="lt-LT" w:eastAsia="lt-LT" w:bidi="ar-SA"/>
    </w:rPr>
  </w:style>
  <w:style w:type="paragraph" w:styleId="Paragraph" w:customStyle="1">
    <w:name w:val="paragraph"/>
    <w:basedOn w:val="Normal"/>
    <w:qFormat/>
    <w:rsid w:val="004f660e"/>
    <w:pPr>
      <w:spacing w:lineRule="auto" w:line="240" w:before="0" w:after="0"/>
    </w:pPr>
    <w:rPr>
      <w:rFonts w:ascii="Calibri" w:hAnsi="Calibri" w:eastAsia="Calibri" w:cs="Calibri" w:eastAsiaTheme="minorHAnsi"/>
      <w:sz w:val="22"/>
      <w:szCs w:val="22"/>
    </w:rPr>
  </w:style>
  <w:style w:type="paragraph" w:styleId="BodyTextIndent">
    <w:name w:val="Body Text Indent"/>
    <w:basedOn w:val="Normal"/>
    <w:link w:val="BodyTextIndentChar"/>
    <w:uiPriority w:val="99"/>
    <w:semiHidden/>
    <w:unhideWhenUsed/>
    <w:rsid w:val="004f660e"/>
    <w:pPr>
      <w:spacing w:lineRule="auto" w:line="259" w:before="0" w:after="120"/>
      <w:ind w:left="283"/>
    </w:pPr>
    <w:rPr>
      <w:rFonts w:eastAsia="Calibri" w:eastAsiaTheme="minorHAnsi"/>
      <w:sz w:val="22"/>
      <w:szCs w:val="22"/>
      <w:lang w:eastAsia="en-US"/>
    </w:rPr>
  </w:style>
  <w:style w:type="paragraph" w:styleId="Normal-p" w:customStyle="1">
    <w:name w:val="normal-p"/>
    <w:basedOn w:val="Normal"/>
    <w:qFormat/>
    <w:rsid w:val="004f660e"/>
    <w:pPr>
      <w:spacing w:lineRule="auto" w:line="240" w:beforeAutospacing="1" w:afterAutospacing="1"/>
    </w:pPr>
    <w:rPr>
      <w:rFonts w:ascii="Times New Roman" w:hAnsi="Times New Roman" w:eastAsia="Times New Roman" w:cs="Times New Roman"/>
      <w:sz w:val="24"/>
      <w:szCs w:val="24"/>
    </w:rPr>
  </w:style>
  <w:style w:type="paragraph" w:styleId="TOC3">
    <w:name w:val="TOC 3"/>
    <w:basedOn w:val="Normal"/>
    <w:next w:val="Normal"/>
    <w:autoRedefine/>
    <w:uiPriority w:val="39"/>
    <w:unhideWhenUsed/>
    <w:rsid w:val="004f660e"/>
    <w:pPr>
      <w:spacing w:lineRule="auto" w:line="259" w:before="0" w:after="100"/>
      <w:ind w:left="440"/>
    </w:pPr>
    <w:rPr>
      <w:rFonts w:cs="Times New Roman"/>
      <w:sz w:val="22"/>
      <w:szCs w:val="22"/>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numbering" w:styleId="List51" w:customStyle="1">
    <w:name w:val="List 51"/>
    <w:qFormat/>
    <w:rsid w:val="00197943"/>
  </w:style>
  <w:style w:type="numbering" w:styleId="Stilius64" w:customStyle="1">
    <w:name w:val="Stilius64"/>
    <w:uiPriority w:val="99"/>
    <w:qFormat/>
    <w:rsid w:val="004f660e"/>
  </w:style>
  <w:style w:type="numbering" w:styleId="Stilius641" w:customStyle="1">
    <w:name w:val="Stilius641"/>
    <w:uiPriority w:val="99"/>
    <w:qFormat/>
    <w:rsid w:val="004f660e"/>
  </w:style>
  <w:style w:type="numbering" w:styleId="Stilius642" w:customStyle="1">
    <w:name w:val="Stilius642"/>
    <w:uiPriority w:val="99"/>
    <w:qFormat/>
    <w:rsid w:val="004f660e"/>
  </w:style>
  <w:style w:type="numbering" w:styleId="NoList1" w:customStyle="1">
    <w:name w:val="No List1"/>
    <w:uiPriority w:val="99"/>
    <w:semiHidden/>
    <w:unhideWhenUsed/>
    <w:qFormat/>
    <w:rsid w:val="004f660e"/>
  </w:style>
  <w:style w:type="numbering" w:styleId="NoList11" w:customStyle="1">
    <w:name w:val="No List11"/>
    <w:uiPriority w:val="99"/>
    <w:semiHidden/>
    <w:unhideWhenUsed/>
    <w:qFormat/>
    <w:rsid w:val="004f660e"/>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68660c"/>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TableNormal"/>
    <w:uiPriority w:val="39"/>
    <w:rsid w:val="000b5255"/>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Normal1">
    <w:name w:val="Table Normal1"/>
    <w:rsid w:val="004f660e"/>
    <w:rPr>
      <w:sz w:val="20"/>
      <w:szCs w:val="20"/>
    </w:rPr>
    <w:tblPr>
      <w:tblCellMar>
        <w:top w:w="0" w:type="dxa"/>
        <w:left w:w="0" w:type="dxa"/>
        <w:bottom w:w="0" w:type="dxa"/>
        <w:right w:w="0" w:type="dxa"/>
      </w:tblCellMar>
    </w:tblPr>
  </w:style>
  <w:style w:type="table" w:customStyle="1" w:styleId="TableGrid31">
    <w:name w:val="Table Grid31"/>
    <w:basedOn w:val="TableNormal"/>
    <w:uiPriority w:val="39"/>
    <w:rsid w:val="004f660e"/>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1">
    <w:name w:val="Lentelės tinklelis1"/>
    <w:basedOn w:val="TableNormal"/>
    <w:uiPriority w:val="39"/>
    <w:rsid w:val="004f660e"/>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e-tar.lt/portal/lt/legalAct/TAR.4B60A8C9678B/asr" TargetMode="External"/><Relationship Id="rId3" Type="http://schemas.openxmlformats.org/officeDocument/2006/relationships/hyperlink" Target="https://viesiejipirkimai.lt/"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yperlink" Target="https://ec.europa.eu/tools/ecertis/" TargetMode="External"/><Relationship Id="rId8" Type="http://schemas.openxmlformats.org/officeDocument/2006/relationships/hyperlink" Target="http://draudejai.sodra.lt/draudeju_viesi_duomenys/" TargetMode="External"/><Relationship Id="rId9"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vpt.lrv.lt/lt/nuorodos/kiti-duomenys/powerbi/nepatikimi-tiekejai-1/" TargetMode="External"/><Relationship Id="rId11"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index.php" TargetMode="External"/><Relationship Id="rId13"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vmi.lt/evmi/mokesciu-moketoju-informacija" TargetMode="External"/><Relationship Id="rId15" Type="http://schemas.openxmlformats.org/officeDocument/2006/relationships/hyperlink" Target="https://kt.gov.lt/lt/atviri-duomenys/diskvalifikavimas-is-viesuju-pirkimu" TargetMode="Externa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oter" Target="footer4.xm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Relationship Id="rId26" Type="http://schemas.openxmlformats.org/officeDocument/2006/relationships/customXml" Target="../customXml/item2.xml"/><Relationship Id="rId27" Type="http://schemas.openxmlformats.org/officeDocument/2006/relationships/customXml" Target="../customXml/item3.xml"/><Relationship Id="rId2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5067</TotalTime>
  <Application>LibreOffice/7.6.4.1$Windows_X86_64 LibreOffice_project/e19e193f88cd6c0525a17fb7a176ed8e6a3e2aa1</Application>
  <AppVersion>15.0000</AppVersion>
  <Pages>27</Pages>
  <Words>4853</Words>
  <Characters>34673</Characters>
  <CharactersWithSpaces>39255</CharactersWithSpaces>
  <Paragraphs>306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2025-12-17T13:30:00Z</dcterms:created>
  <dc:creator>Jurgita Nainienė</dc:creator>
  <dc:description/>
  <dc:language>en-US</dc:language>
  <cp:lastModifiedBy/>
  <dcterms:modified xsi:type="dcterms:W3CDTF">2026-05-22T10:37:23Z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